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E1" w:rsidRPr="004C71CA" w:rsidRDefault="00513EE1">
      <w:pPr>
        <w:spacing w:before="7" w:line="280" w:lineRule="exact"/>
        <w:rPr>
          <w:sz w:val="28"/>
          <w:szCs w:val="28"/>
          <w:lang w:val="ro-RO"/>
        </w:rPr>
      </w:pPr>
    </w:p>
    <w:p w:rsidR="004873C4" w:rsidRPr="00F01993" w:rsidRDefault="004873C4" w:rsidP="004873C4">
      <w:pPr>
        <w:spacing w:before="7" w:line="240" w:lineRule="exact"/>
        <w:jc w:val="center"/>
        <w:rPr>
          <w:rFonts w:ascii="Arial Narrow" w:hAnsi="Arial Narrow"/>
          <w:b/>
          <w:spacing w:val="1"/>
          <w:sz w:val="28"/>
          <w:szCs w:val="28"/>
        </w:rPr>
      </w:pPr>
      <w:r w:rsidRPr="00F01993">
        <w:rPr>
          <w:rFonts w:ascii="Arial Narrow" w:hAnsi="Arial Narrow"/>
          <w:b/>
          <w:spacing w:val="1"/>
          <w:sz w:val="28"/>
          <w:szCs w:val="28"/>
        </w:rPr>
        <w:t>FIȘA DE VERIFICARE</w:t>
      </w:r>
    </w:p>
    <w:p w:rsidR="004873C4" w:rsidRPr="00F01993" w:rsidRDefault="004873C4" w:rsidP="0033289C">
      <w:pPr>
        <w:spacing w:before="7" w:line="240" w:lineRule="exact"/>
        <w:jc w:val="center"/>
        <w:rPr>
          <w:rFonts w:ascii="Arial Narrow" w:hAnsi="Arial Narrow"/>
          <w:sz w:val="24"/>
          <w:szCs w:val="24"/>
          <w:lang w:val="fr-FR"/>
        </w:rPr>
      </w:pPr>
      <w:proofErr w:type="gramStart"/>
      <w:r w:rsidRPr="00F01993">
        <w:rPr>
          <w:rFonts w:ascii="Arial Narrow" w:hAnsi="Arial Narrow"/>
          <w:b/>
          <w:spacing w:val="1"/>
          <w:sz w:val="28"/>
          <w:szCs w:val="28"/>
        </w:rPr>
        <w:t>î</w:t>
      </w:r>
      <w:r w:rsidRPr="00F01993">
        <w:rPr>
          <w:rFonts w:ascii="Arial Narrow" w:hAnsi="Arial Narrow"/>
          <w:b/>
          <w:sz w:val="28"/>
          <w:szCs w:val="28"/>
        </w:rPr>
        <w:t>n</w:t>
      </w:r>
      <w:proofErr w:type="gramEnd"/>
      <w:r w:rsidRPr="00F01993">
        <w:rPr>
          <w:rFonts w:ascii="Arial Narrow" w:hAnsi="Arial Narrow"/>
          <w:b/>
          <w:sz w:val="28"/>
          <w:szCs w:val="28"/>
        </w:rPr>
        <w:t xml:space="preserve"> v</w:t>
      </w:r>
      <w:r w:rsidRPr="00F01993">
        <w:rPr>
          <w:rFonts w:ascii="Arial Narrow" w:hAnsi="Arial Narrow"/>
          <w:b/>
          <w:spacing w:val="-2"/>
          <w:sz w:val="28"/>
          <w:szCs w:val="28"/>
        </w:rPr>
        <w:t>e</w:t>
      </w:r>
      <w:r w:rsidRPr="00F01993">
        <w:rPr>
          <w:rFonts w:ascii="Arial Narrow" w:hAnsi="Arial Narrow"/>
          <w:b/>
          <w:sz w:val="28"/>
          <w:szCs w:val="28"/>
        </w:rPr>
        <w:t>der</w:t>
      </w:r>
      <w:r w:rsidRPr="00F01993">
        <w:rPr>
          <w:rFonts w:ascii="Arial Narrow" w:hAnsi="Arial Narrow"/>
          <w:b/>
          <w:spacing w:val="-2"/>
          <w:sz w:val="28"/>
          <w:szCs w:val="28"/>
        </w:rPr>
        <w:t>e</w:t>
      </w:r>
      <w:r w:rsidRPr="00F01993">
        <w:rPr>
          <w:rFonts w:ascii="Arial Narrow" w:hAnsi="Arial Narrow"/>
          <w:b/>
          <w:sz w:val="28"/>
          <w:szCs w:val="28"/>
        </w:rPr>
        <w:t>a</w:t>
      </w:r>
      <w:r w:rsidRPr="00F01993">
        <w:rPr>
          <w:rFonts w:ascii="Arial Narrow" w:hAnsi="Arial Narrow"/>
          <w:b/>
          <w:spacing w:val="4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pacing w:val="-1"/>
          <w:sz w:val="28"/>
          <w:szCs w:val="28"/>
        </w:rPr>
        <w:t>a</w:t>
      </w:r>
      <w:r w:rsidRPr="00F01993">
        <w:rPr>
          <w:rFonts w:ascii="Arial Narrow" w:hAnsi="Arial Narrow"/>
          <w:b/>
          <w:sz w:val="28"/>
          <w:szCs w:val="28"/>
        </w:rPr>
        <w:t>cre</w:t>
      </w:r>
      <w:r w:rsidRPr="00F01993">
        <w:rPr>
          <w:rFonts w:ascii="Arial Narrow" w:hAnsi="Arial Narrow"/>
          <w:b/>
          <w:spacing w:val="-2"/>
          <w:sz w:val="28"/>
          <w:szCs w:val="28"/>
        </w:rPr>
        <w:t>d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t</w:t>
      </w:r>
      <w:r w:rsidRPr="00F01993">
        <w:rPr>
          <w:rFonts w:ascii="Arial Narrow" w:hAnsi="Arial Narrow"/>
          <w:b/>
          <w:spacing w:val="1"/>
          <w:sz w:val="28"/>
          <w:szCs w:val="28"/>
        </w:rPr>
        <w:t>ă</w:t>
      </w:r>
      <w:r w:rsidRPr="00F01993">
        <w:rPr>
          <w:rFonts w:ascii="Arial Narrow" w:hAnsi="Arial Narrow"/>
          <w:b/>
          <w:spacing w:val="-2"/>
          <w:sz w:val="28"/>
          <w:szCs w:val="28"/>
        </w:rPr>
        <w:t>r</w:t>
      </w:r>
      <w:r w:rsidRPr="00F01993">
        <w:rPr>
          <w:rFonts w:ascii="Arial Narrow" w:hAnsi="Arial Narrow"/>
          <w:b/>
          <w:spacing w:val="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i</w:t>
      </w:r>
      <w:r w:rsidRPr="00F01993">
        <w:rPr>
          <w:rFonts w:ascii="Arial Narrow" w:hAnsi="Arial Narrow"/>
          <w:b/>
          <w:spacing w:val="-2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/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e</w:t>
      </w:r>
      <w:r w:rsidRPr="00F01993">
        <w:rPr>
          <w:rFonts w:ascii="Arial Narrow" w:hAnsi="Arial Narrow"/>
          <w:b/>
          <w:spacing w:val="-2"/>
          <w:sz w:val="28"/>
          <w:szCs w:val="28"/>
        </w:rPr>
        <w:t>v</w:t>
      </w:r>
      <w:r w:rsidRPr="00F01993">
        <w:rPr>
          <w:rFonts w:ascii="Arial Narrow" w:hAnsi="Arial Narrow"/>
          <w:b/>
          <w:spacing w:val="-1"/>
          <w:sz w:val="28"/>
          <w:szCs w:val="28"/>
        </w:rPr>
        <w:t>a</w:t>
      </w:r>
      <w:r w:rsidRPr="00F01993">
        <w:rPr>
          <w:rFonts w:ascii="Arial Narrow" w:hAnsi="Arial Narrow"/>
          <w:b/>
          <w:spacing w:val="1"/>
          <w:sz w:val="28"/>
          <w:szCs w:val="28"/>
        </w:rPr>
        <w:t>l</w:t>
      </w:r>
      <w:r w:rsidRPr="00F01993">
        <w:rPr>
          <w:rFonts w:ascii="Arial Narrow" w:hAnsi="Arial Narrow"/>
          <w:b/>
          <w:sz w:val="28"/>
          <w:szCs w:val="28"/>
        </w:rPr>
        <w:t>u</w:t>
      </w:r>
      <w:r w:rsidRPr="00F01993">
        <w:rPr>
          <w:rFonts w:ascii="Arial Narrow" w:hAnsi="Arial Narrow"/>
          <w:b/>
          <w:spacing w:val="-1"/>
          <w:sz w:val="28"/>
          <w:szCs w:val="28"/>
        </w:rPr>
        <w:t>ă</w:t>
      </w:r>
      <w:r w:rsidRPr="00F01993">
        <w:rPr>
          <w:rFonts w:ascii="Arial Narrow" w:hAnsi="Arial Narrow"/>
          <w:b/>
          <w:sz w:val="28"/>
          <w:szCs w:val="28"/>
        </w:rPr>
        <w:t>r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i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pe</w:t>
      </w:r>
      <w:r w:rsidRPr="00F01993">
        <w:rPr>
          <w:rFonts w:ascii="Arial Narrow" w:hAnsi="Arial Narrow"/>
          <w:b/>
          <w:spacing w:val="-3"/>
          <w:sz w:val="28"/>
          <w:szCs w:val="28"/>
        </w:rPr>
        <w:t>r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pacing w:val="1"/>
          <w:sz w:val="28"/>
          <w:szCs w:val="28"/>
        </w:rPr>
        <w:t>o</w:t>
      </w:r>
      <w:r w:rsidRPr="00F01993">
        <w:rPr>
          <w:rFonts w:ascii="Arial Narrow" w:hAnsi="Arial Narrow"/>
          <w:b/>
          <w:sz w:val="28"/>
          <w:szCs w:val="28"/>
        </w:rPr>
        <w:t>d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ce a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</w:t>
      </w:r>
      <w:r w:rsidR="0033289C">
        <w:rPr>
          <w:rFonts w:ascii="Arial Narrow" w:hAnsi="Arial Narrow"/>
          <w:b/>
          <w:sz w:val="28"/>
          <w:szCs w:val="28"/>
        </w:rPr>
        <w:t>domeniilor de studii universitare de doctorat</w:t>
      </w:r>
    </w:p>
    <w:p w:rsidR="004873C4" w:rsidRDefault="004873C4" w:rsidP="004873C4">
      <w:pPr>
        <w:spacing w:before="7" w:line="280" w:lineRule="exact"/>
        <w:rPr>
          <w:sz w:val="28"/>
          <w:szCs w:val="28"/>
        </w:rPr>
      </w:pPr>
    </w:p>
    <w:p w:rsidR="00D9398B" w:rsidRDefault="00D9398B" w:rsidP="004873C4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4788"/>
      </w:tblGrid>
      <w:tr w:rsidR="004873C4" w:rsidRPr="009A3F06" w:rsidTr="0013144F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4873C4" w:rsidRPr="009A3F06" w:rsidRDefault="002C294D" w:rsidP="0013144F">
            <w:pPr>
              <w:ind w:left="357" w:hanging="357"/>
              <w:rPr>
                <w:rFonts w:ascii="Arial Narrow" w:eastAsia="Calibri" w:hAnsi="Arial Narrow"/>
                <w:b/>
                <w:sz w:val="22"/>
              </w:rPr>
            </w:pPr>
            <w:r>
              <w:rPr>
                <w:rFonts w:ascii="Arial Narrow" w:eastAsia="Calibri" w:hAnsi="Arial Narrow"/>
                <w:b/>
              </w:rPr>
              <w:t>Domeniu doctorat</w:t>
            </w:r>
          </w:p>
        </w:tc>
        <w:tc>
          <w:tcPr>
            <w:tcW w:w="4788" w:type="dxa"/>
            <w:shd w:val="clear" w:color="auto" w:fill="auto"/>
          </w:tcPr>
          <w:p w:rsidR="004873C4" w:rsidRPr="00F01993" w:rsidRDefault="004873C4" w:rsidP="0013144F">
            <w:pPr>
              <w:tabs>
                <w:tab w:val="left" w:pos="825"/>
                <w:tab w:val="center" w:pos="2286"/>
              </w:tabs>
              <w:ind w:left="357" w:hanging="357"/>
              <w:jc w:val="center"/>
              <w:rPr>
                <w:rFonts w:ascii="Arial Narrow" w:eastAsia="Calibri" w:hAnsi="Arial Narrow"/>
                <w:b/>
                <w:sz w:val="22"/>
              </w:rPr>
            </w:pPr>
          </w:p>
        </w:tc>
      </w:tr>
      <w:tr w:rsidR="004873C4" w:rsidRPr="009A3F06" w:rsidTr="0013144F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4873C4" w:rsidRPr="009A3F06" w:rsidRDefault="002C294D" w:rsidP="002C294D">
            <w:pPr>
              <w:ind w:left="357" w:hanging="357"/>
              <w:rPr>
                <w:rFonts w:ascii="Arial Narrow" w:eastAsia="Calibri" w:hAnsi="Arial Narrow"/>
                <w:b/>
              </w:rPr>
            </w:pPr>
            <w:r w:rsidRPr="002C294D">
              <w:rPr>
                <w:rFonts w:ascii="Arial Narrow" w:eastAsia="Calibri" w:hAnsi="Arial Narrow"/>
                <w:b/>
              </w:rPr>
              <w:t>Forma de evaluare</w:t>
            </w:r>
            <w:r>
              <w:rPr>
                <w:rFonts w:ascii="Arial Narrow" w:eastAsia="Calibri" w:hAnsi="Arial Narrow"/>
              </w:rPr>
              <w:t xml:space="preserve"> (</w:t>
            </w:r>
            <w:r w:rsidR="004873C4" w:rsidRPr="002C294D">
              <w:rPr>
                <w:rFonts w:ascii="Arial Narrow" w:eastAsia="Calibri" w:hAnsi="Arial Narrow"/>
                <w:b/>
              </w:rPr>
              <w:t>A</w:t>
            </w:r>
            <w:r w:rsidR="004873C4" w:rsidRPr="002C294D">
              <w:rPr>
                <w:rFonts w:ascii="Arial Narrow" w:eastAsia="Calibri" w:hAnsi="Arial Narrow"/>
              </w:rPr>
              <w:t>/</w:t>
            </w:r>
            <w:r w:rsidR="004873C4" w:rsidRPr="009A3F06">
              <w:rPr>
                <w:rFonts w:ascii="Arial Narrow" w:eastAsia="Calibri" w:hAnsi="Arial Narrow"/>
                <w:b/>
              </w:rPr>
              <w:t>EP)</w:t>
            </w:r>
          </w:p>
        </w:tc>
        <w:tc>
          <w:tcPr>
            <w:tcW w:w="4788" w:type="dxa"/>
            <w:shd w:val="clear" w:color="auto" w:fill="auto"/>
          </w:tcPr>
          <w:p w:rsidR="004873C4" w:rsidRPr="00F01993" w:rsidRDefault="004873C4" w:rsidP="0013144F">
            <w:pPr>
              <w:ind w:left="357" w:hanging="357"/>
              <w:jc w:val="center"/>
              <w:rPr>
                <w:rFonts w:ascii="Arial Narrow" w:eastAsia="Calibri" w:hAnsi="Arial Narrow"/>
                <w:b/>
                <w:sz w:val="22"/>
              </w:rPr>
            </w:pPr>
          </w:p>
        </w:tc>
      </w:tr>
    </w:tbl>
    <w:p w:rsidR="004873C4" w:rsidRPr="009A3F06" w:rsidRDefault="004873C4" w:rsidP="004873C4">
      <w:pPr>
        <w:rPr>
          <w:rFonts w:ascii="Calibri" w:hAnsi="Calibri"/>
        </w:rPr>
      </w:pPr>
    </w:p>
    <w:p w:rsidR="004873C4" w:rsidRPr="004F5CFC" w:rsidRDefault="004873C4" w:rsidP="004873C4">
      <w:pPr>
        <w:ind w:left="720" w:firstLine="720"/>
        <w:rPr>
          <w:rFonts w:ascii="Arial Narrow" w:hAnsi="Arial Narrow"/>
          <w:i/>
          <w:sz w:val="22"/>
          <w:szCs w:val="22"/>
        </w:rPr>
      </w:pPr>
      <w:r w:rsidRPr="004F5CFC">
        <w:rPr>
          <w:rFonts w:ascii="Arial Narrow" w:hAnsi="Arial Narrow"/>
          <w:i/>
          <w:sz w:val="22"/>
          <w:szCs w:val="22"/>
        </w:rPr>
        <w:t>Componența comisiei de verificare: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758"/>
        <w:gridCol w:w="2743"/>
        <w:gridCol w:w="928"/>
        <w:gridCol w:w="1099"/>
      </w:tblGrid>
      <w:tr w:rsidR="004873C4" w:rsidRPr="009A3F06" w:rsidTr="0013144F">
        <w:trPr>
          <w:trHeight w:val="300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Nr. crt.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873C4" w:rsidRPr="009A3F06" w:rsidRDefault="004873C4" w:rsidP="0013144F">
            <w:pPr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 xml:space="preserve">Grad didactic, Prenume, NUME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Calitatea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Semnătura</w:t>
            </w:r>
          </w:p>
        </w:tc>
      </w:tr>
      <w:tr w:rsidR="004873C4" w:rsidRPr="009A3F06" w:rsidTr="0013144F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4873C4" w:rsidRPr="009A3F06" w:rsidRDefault="004873C4" w:rsidP="0013144F">
            <w:pPr>
              <w:spacing w:before="60" w:after="6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873C4" w:rsidRPr="009A3F06" w:rsidRDefault="004873C4" w:rsidP="0013144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873C4" w:rsidRPr="009A3F06" w:rsidRDefault="004873C4" w:rsidP="0013144F">
            <w:pPr>
              <w:spacing w:before="60" w:after="60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Membru</w:t>
            </w:r>
          </w:p>
        </w:tc>
        <w:tc>
          <w:tcPr>
            <w:tcW w:w="0" w:type="auto"/>
            <w:tcBorders>
              <w:top w:val="nil"/>
            </w:tcBorders>
          </w:tcPr>
          <w:p w:rsidR="004873C4" w:rsidRPr="009A3F06" w:rsidRDefault="004873C4" w:rsidP="0013144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873C4" w:rsidRPr="009A3F06" w:rsidTr="0013144F">
        <w:trPr>
          <w:trHeight w:val="300"/>
          <w:jc w:val="center"/>
        </w:trPr>
        <w:tc>
          <w:tcPr>
            <w:tcW w:w="0" w:type="auto"/>
            <w:vAlign w:val="center"/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 xml:space="preserve">    2.</w:t>
            </w:r>
          </w:p>
        </w:tc>
        <w:tc>
          <w:tcPr>
            <w:tcW w:w="0" w:type="auto"/>
            <w:vAlign w:val="center"/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Membru</w:t>
            </w:r>
          </w:p>
        </w:tc>
        <w:tc>
          <w:tcPr>
            <w:tcW w:w="0" w:type="auto"/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4873C4" w:rsidRDefault="004873C4" w:rsidP="004873C4">
      <w:pPr>
        <w:spacing w:before="3" w:line="140" w:lineRule="exact"/>
        <w:rPr>
          <w:sz w:val="15"/>
          <w:szCs w:val="15"/>
          <w:lang w:val="fr-FR"/>
        </w:rPr>
      </w:pPr>
    </w:p>
    <w:p w:rsidR="00513EE1" w:rsidRDefault="00513EE1">
      <w:pPr>
        <w:spacing w:before="3" w:line="140" w:lineRule="exact"/>
        <w:rPr>
          <w:sz w:val="15"/>
          <w:szCs w:val="15"/>
          <w:lang w:val="fr-FR"/>
        </w:rPr>
      </w:pPr>
    </w:p>
    <w:p w:rsidR="00241A09" w:rsidRDefault="00241A09">
      <w:pPr>
        <w:spacing w:before="3" w:line="140" w:lineRule="exact"/>
        <w:rPr>
          <w:sz w:val="15"/>
          <w:szCs w:val="15"/>
          <w:lang w:val="fr-FR"/>
        </w:rPr>
      </w:pPr>
    </w:p>
    <w:tbl>
      <w:tblPr>
        <w:tblW w:w="0" w:type="auto"/>
        <w:tblInd w:w="111" w:type="dxa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9922"/>
        <w:gridCol w:w="12"/>
        <w:gridCol w:w="2965"/>
      </w:tblGrid>
      <w:tr w:rsidR="000951F9" w:rsidRPr="0084085F" w:rsidTr="00914C9B">
        <w:tc>
          <w:tcPr>
            <w:tcW w:w="12525" w:type="dxa"/>
            <w:gridSpan w:val="3"/>
            <w:tcBorders>
              <w:top w:val="single" w:sz="6" w:space="0" w:color="17365D"/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DAEEF3"/>
          </w:tcPr>
          <w:p w:rsidR="00241A09" w:rsidRPr="000951F9" w:rsidRDefault="00241A09" w:rsidP="000951F9">
            <w:pPr>
              <w:ind w:left="101" w:right="103" w:firstLine="1"/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CERINŢE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NOR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M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ATIVE O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B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LI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G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ATORII, 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S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TA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N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D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A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R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D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E 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Ş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I INDI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C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ATORI 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D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E 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P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E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RF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OR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M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A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N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ŢĂ</w:t>
            </w:r>
          </w:p>
        </w:tc>
        <w:tc>
          <w:tcPr>
            <w:tcW w:w="2965" w:type="dxa"/>
            <w:vMerge w:val="restart"/>
            <w:tcBorders>
              <w:top w:val="single" w:sz="6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DAEEF3"/>
            <w:vAlign w:val="center"/>
          </w:tcPr>
          <w:p w:rsidR="00241A09" w:rsidRPr="00EC54DC" w:rsidRDefault="00241A09" w:rsidP="00081F88">
            <w:pPr>
              <w:ind w:left="101" w:right="103" w:firstLine="1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CONSTATARI</w:t>
            </w:r>
          </w:p>
        </w:tc>
      </w:tr>
      <w:tr w:rsidR="000951F9" w:rsidRPr="0084085F" w:rsidTr="00914C9B">
        <w:tc>
          <w:tcPr>
            <w:tcW w:w="2591" w:type="dxa"/>
            <w:tcBorders>
              <w:top w:val="single" w:sz="8" w:space="0" w:color="17365D"/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DAEDF3"/>
          </w:tcPr>
          <w:p w:rsidR="00241A09" w:rsidRPr="0084085F" w:rsidRDefault="00241A09" w:rsidP="00081F88">
            <w:pPr>
              <w:ind w:lef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085F">
              <w:rPr>
                <w:rFonts w:ascii="Arial Narrow" w:hAnsi="Arial Narrow"/>
                <w:b/>
                <w:sz w:val="24"/>
                <w:szCs w:val="24"/>
              </w:rPr>
              <w:t>STANDARD</w:t>
            </w:r>
          </w:p>
        </w:tc>
        <w:tc>
          <w:tcPr>
            <w:tcW w:w="9934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DAEDF3"/>
          </w:tcPr>
          <w:p w:rsidR="00241A09" w:rsidRPr="00EC54DC" w:rsidRDefault="00241A09" w:rsidP="00081F88">
            <w:pPr>
              <w:ind w:left="100"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  <w:lang w:val="ro-RO"/>
              </w:rPr>
            </w:pPr>
            <w:r w:rsidRPr="00EC54DC">
              <w:rPr>
                <w:rFonts w:ascii="Arial Narrow" w:hAnsi="Arial Narrow"/>
                <w:b/>
                <w:spacing w:val="-3"/>
                <w:sz w:val="22"/>
                <w:szCs w:val="22"/>
                <w:lang w:val="fr-FR"/>
              </w:rPr>
              <w:t>INDICATORI</w:t>
            </w:r>
            <w:r w:rsidRPr="00EC54DC">
              <w:rPr>
                <w:rFonts w:ascii="Arial Narrow" w:hAnsi="Arial Narrow"/>
                <w:b/>
                <w:spacing w:val="-3"/>
                <w:sz w:val="22"/>
                <w:szCs w:val="22"/>
                <w:lang w:val="ro-RO"/>
              </w:rPr>
              <w:t xml:space="preserve"> DE PERFORMANȚĂ ARACIS</w:t>
            </w:r>
          </w:p>
        </w:tc>
        <w:tc>
          <w:tcPr>
            <w:tcW w:w="2965" w:type="dxa"/>
            <w:vMerge/>
            <w:tcBorders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C6D9F1" w:themeFill="text2" w:themeFillTint="33"/>
          </w:tcPr>
          <w:p w:rsidR="00241A09" w:rsidRPr="00EC54DC" w:rsidRDefault="00241A09" w:rsidP="00081F88">
            <w:pPr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C6D9F1" w:themeFill="text2" w:themeFillTint="33"/>
            <w:vAlign w:val="center"/>
          </w:tcPr>
          <w:p w:rsidR="00241A09" w:rsidRPr="00EC54DC" w:rsidRDefault="00241A09" w:rsidP="00081F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A.CAPACITATEA INSTITUȚIONALĂ</w:t>
            </w: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right w:val="single" w:sz="6" w:space="0" w:color="17365D"/>
            </w:tcBorders>
            <w:shd w:val="clear" w:color="auto" w:fill="EAEAEA"/>
            <w:vAlign w:val="center"/>
          </w:tcPr>
          <w:p w:rsidR="00241A09" w:rsidRPr="00EC54DC" w:rsidRDefault="00241A09" w:rsidP="00081F88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A.1. S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ctu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e ins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hAnsi="Arial Narrow"/>
                <w:b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ţional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, a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dm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ini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hAnsi="Arial Narrow"/>
                <w:b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tive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m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EC54DC">
              <w:rPr>
                <w:rFonts w:ascii="Arial Narrow" w:hAnsi="Arial Narrow"/>
                <w:b/>
                <w:spacing w:val="-2"/>
                <w:sz w:val="22"/>
                <w:szCs w:val="22"/>
              </w:rPr>
              <w:t>g</w:t>
            </w:r>
            <w:r w:rsidRPr="00EC54DC">
              <w:rPr>
                <w:rFonts w:ascii="Arial Narrow" w:hAnsi="Arial Narrow"/>
                <w:b/>
                <w:spacing w:val="3"/>
                <w:sz w:val="22"/>
                <w:szCs w:val="22"/>
              </w:rPr>
              <w:t>e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ri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le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și resurse financiare</w:t>
            </w:r>
          </w:p>
        </w:tc>
      </w:tr>
      <w:tr w:rsidR="005C4B3E" w:rsidRPr="0084085F" w:rsidTr="00914C9B">
        <w:tc>
          <w:tcPr>
            <w:tcW w:w="2591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241A09" w:rsidRPr="0084085F" w:rsidRDefault="00241A09" w:rsidP="00F77517">
            <w:pPr>
              <w:ind w:left="39"/>
              <w:rPr>
                <w:rFonts w:ascii="Arial Narrow" w:hAnsi="Arial Narrow"/>
                <w:sz w:val="24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A.1.1. Institu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organizatoare de studii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universitare de doctorat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(IOSUD) </w:t>
            </w:r>
            <w:proofErr w:type="gramStart"/>
            <w:r w:rsidRPr="00241A09">
              <w:rPr>
                <w:rFonts w:ascii="Arial Narrow" w:hAnsi="Arial Narrow"/>
                <w:sz w:val="22"/>
                <w:szCs w:val="24"/>
              </w:rPr>
              <w:t>a</w:t>
            </w:r>
            <w:proofErr w:type="gramEnd"/>
            <w:r w:rsidRPr="00241A09">
              <w:rPr>
                <w:rFonts w:ascii="Arial Narrow" w:hAnsi="Arial Narrow"/>
                <w:sz w:val="22"/>
                <w:szCs w:val="24"/>
              </w:rPr>
              <w:t xml:space="preserve"> implementat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mecanismele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func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ionare eficient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prev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>zute în legisla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specific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 privind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organizarea studiilor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doctorat.</w:t>
            </w:r>
          </w:p>
        </w:tc>
        <w:tc>
          <w:tcPr>
            <w:tcW w:w="9934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A.1.1.1. Existen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a regulamentelor </w:t>
            </w:r>
            <w:r>
              <w:rPr>
                <w:rFonts w:ascii="Arial Narrow" w:hAnsi="Arial Narrow"/>
                <w:sz w:val="22"/>
                <w:szCs w:val="24"/>
              </w:rPr>
              <w:t>specific</w:t>
            </w:r>
            <w:r w:rsidR="0095024A">
              <w:rPr>
                <w:rFonts w:ascii="Arial Narrow" w:hAnsi="Arial Narrow"/>
                <w:sz w:val="22"/>
                <w:szCs w:val="24"/>
              </w:rPr>
              <w:t>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aplicarea acestora la nivelul IOSUD,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respectiv al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colii doctorale, având ca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perioad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 de referin</w:t>
            </w:r>
            <w:r w:rsidR="0095024A">
              <w:rPr>
                <w:rFonts w:ascii="Arial Narrow" w:hAnsi="Arial Narrow"/>
                <w:sz w:val="22"/>
                <w:szCs w:val="24"/>
              </w:rPr>
              <w:t>ță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 ultimii cinci ani: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a) regulamente interne ale structurilor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administrative (regulamentul institu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ional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organizare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desf</w:t>
            </w:r>
            <w:r w:rsidR="0095024A">
              <w:rPr>
                <w:rFonts w:ascii="Arial Narrow" w:hAnsi="Arial Narrow"/>
                <w:sz w:val="22"/>
                <w:szCs w:val="24"/>
              </w:rPr>
              <w:t>ăș</w:t>
            </w:r>
            <w:r w:rsidRPr="00241A09">
              <w:rPr>
                <w:rFonts w:ascii="Arial Narrow" w:hAnsi="Arial Narrow"/>
                <w:sz w:val="22"/>
                <w:szCs w:val="24"/>
              </w:rPr>
              <w:t>urare a studiilor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universitare de doctorat, regulamentele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colilor doctorale);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b) metodologia de desf</w:t>
            </w:r>
            <w:r w:rsidR="0095024A">
              <w:rPr>
                <w:rFonts w:ascii="Arial Narrow" w:hAnsi="Arial Narrow"/>
                <w:sz w:val="22"/>
                <w:szCs w:val="24"/>
              </w:rPr>
              <w:t>ăș</w:t>
            </w:r>
            <w:r w:rsidRPr="00241A09">
              <w:rPr>
                <w:rFonts w:ascii="Arial Narrow" w:hAnsi="Arial Narrow"/>
                <w:sz w:val="22"/>
                <w:szCs w:val="24"/>
              </w:rPr>
              <w:t>urare a alegerilor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5024A">
              <w:rPr>
                <w:rFonts w:ascii="Arial Narrow" w:hAnsi="Arial Narrow"/>
                <w:sz w:val="22"/>
                <w:szCs w:val="24"/>
              </w:rPr>
              <w:t>la nivelul C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SUD,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colilor doctorale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dovezi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ale derul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>rii acestora;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c) metodologia de desf</w:t>
            </w:r>
            <w:r w:rsidR="0095024A">
              <w:rPr>
                <w:rFonts w:ascii="Arial Narrow" w:hAnsi="Arial Narrow"/>
                <w:sz w:val="22"/>
                <w:szCs w:val="24"/>
              </w:rPr>
              <w:t>ăș</w:t>
            </w:r>
            <w:r w:rsidRPr="00241A09">
              <w:rPr>
                <w:rFonts w:ascii="Arial Narrow" w:hAnsi="Arial Narrow"/>
                <w:sz w:val="22"/>
                <w:szCs w:val="24"/>
              </w:rPr>
              <w:t>urare a ultimului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concurs pentru func</w:t>
            </w:r>
            <w:r w:rsidR="0095024A">
              <w:rPr>
                <w:rFonts w:ascii="Arial Narrow" w:hAnsi="Arial Narrow"/>
                <w:sz w:val="22"/>
                <w:szCs w:val="24"/>
              </w:rPr>
              <w:t>ția de director C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SUD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dovezi ale derul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>rii acestuia;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 xml:space="preserve">d) metodologii de organizare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desf</w:t>
            </w:r>
            <w:r w:rsidR="0095024A">
              <w:rPr>
                <w:rFonts w:ascii="Arial Narrow" w:hAnsi="Arial Narrow"/>
                <w:sz w:val="22"/>
                <w:szCs w:val="24"/>
              </w:rPr>
              <w:t>ăș</w:t>
            </w:r>
            <w:r w:rsidRPr="00241A09">
              <w:rPr>
                <w:rFonts w:ascii="Arial Narrow" w:hAnsi="Arial Narrow"/>
                <w:sz w:val="22"/>
                <w:szCs w:val="24"/>
              </w:rPr>
              <w:t>urare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a studiilor de doctorat (de admitere 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studen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ilor doctoranzi, de finalizare 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studiilor de doctorat);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e) existen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a unor mecanisme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recunoa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tere a calit</w:t>
            </w:r>
            <w:r w:rsidR="0095024A">
              <w:rPr>
                <w:rFonts w:ascii="Arial Narrow" w:hAnsi="Arial Narrow"/>
                <w:sz w:val="22"/>
                <w:szCs w:val="24"/>
              </w:rPr>
              <w:t>ăț</w:t>
            </w:r>
            <w:r w:rsidRPr="00241A09">
              <w:rPr>
                <w:rFonts w:ascii="Arial Narrow" w:hAnsi="Arial Narrow"/>
                <w:sz w:val="22"/>
                <w:szCs w:val="24"/>
              </w:rPr>
              <w:t>ii de conduc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>tor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doctorat si de echivalare a doctoratului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ob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inut în alte state;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f) structuri de conducere func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ionale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[</w:t>
            </w:r>
            <w:r w:rsidR="0095024A">
              <w:rPr>
                <w:rFonts w:ascii="Arial Narrow" w:hAnsi="Arial Narrow"/>
                <w:sz w:val="22"/>
                <w:szCs w:val="24"/>
              </w:rPr>
              <w:t>IOSUD/CSUD/C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onsiliul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colii doctorale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(regularitatea convoc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rii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edin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elor)];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g) contractul de studii universitare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doctorat;</w:t>
            </w:r>
          </w:p>
          <w:p w:rsidR="00241A09" w:rsidRPr="00241A09" w:rsidRDefault="00241A09" w:rsidP="0095024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 xml:space="preserve">h) </w:t>
            </w:r>
            <w:proofErr w:type="gramStart"/>
            <w:r w:rsidRPr="00241A09">
              <w:rPr>
                <w:rFonts w:ascii="Arial Narrow" w:hAnsi="Arial Narrow"/>
                <w:sz w:val="22"/>
                <w:szCs w:val="24"/>
              </w:rPr>
              <w:t>proceduri</w:t>
            </w:r>
            <w:proofErr w:type="gramEnd"/>
            <w:r w:rsidRPr="00241A09">
              <w:rPr>
                <w:rFonts w:ascii="Arial Narrow" w:hAnsi="Arial Narrow"/>
                <w:sz w:val="22"/>
                <w:szCs w:val="24"/>
              </w:rPr>
              <w:t xml:space="preserve"> interne de analiz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aprobare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a propunerilor privind tematica programelor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de studii universitare de doctorat.</w:t>
            </w:r>
          </w:p>
        </w:tc>
        <w:tc>
          <w:tcPr>
            <w:tcW w:w="2965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EC54DC" w:rsidRDefault="00241A09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  <w:lang w:val="ro-RO"/>
              </w:rPr>
            </w:pPr>
          </w:p>
        </w:tc>
      </w:tr>
      <w:tr w:rsidR="000951F9" w:rsidRPr="0084085F" w:rsidTr="00914C9B">
        <w:trPr>
          <w:trHeight w:val="760"/>
        </w:trPr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951F9" w:rsidRPr="0084085F" w:rsidRDefault="000951F9" w:rsidP="00081F88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4" w:type="dxa"/>
            <w:gridSpan w:val="2"/>
            <w:tcBorders>
              <w:top w:val="single" w:sz="7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951F9" w:rsidRPr="00EC54DC" w:rsidRDefault="000951F9" w:rsidP="004C71C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 xml:space="preserve">A.1.1.2. Regulamentul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colii doctorale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include criterii, proceduri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i </w:t>
            </w:r>
            <w:r>
              <w:rPr>
                <w:rFonts w:ascii="Arial Narrow" w:hAnsi="Arial Narrow"/>
                <w:sz w:val="22"/>
                <w:szCs w:val="24"/>
              </w:rPr>
              <w:t>standard</w:t>
            </w:r>
            <w:r w:rsidR="0095024A">
              <w:rPr>
                <w:rFonts w:ascii="Arial Narrow" w:hAnsi="Arial Narrow"/>
                <w:sz w:val="22"/>
                <w:szCs w:val="24"/>
              </w:rPr>
              <w:t>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obligatorii pentru aspectele specificate în</w:t>
            </w:r>
            <w:r>
              <w:rPr>
                <w:rFonts w:ascii="Arial Narrow" w:hAnsi="Arial Narrow"/>
                <w:sz w:val="22"/>
                <w:szCs w:val="24"/>
              </w:rPr>
              <w:t xml:space="preserve"> art. 17 alin. (5) </w:t>
            </w:r>
            <w:proofErr w:type="gramStart"/>
            <w:r>
              <w:rPr>
                <w:rFonts w:ascii="Arial Narrow" w:hAnsi="Arial Narrow"/>
                <w:sz w:val="22"/>
                <w:szCs w:val="24"/>
              </w:rPr>
              <w:t>din</w:t>
            </w:r>
            <w:proofErr w:type="gramEnd"/>
            <w:r>
              <w:rPr>
                <w:rFonts w:ascii="Arial Narrow" w:hAnsi="Arial Narrow"/>
                <w:sz w:val="22"/>
                <w:szCs w:val="24"/>
              </w:rPr>
              <w:t xml:space="preserve"> C</w:t>
            </w:r>
            <w:r w:rsidRPr="00241A09">
              <w:rPr>
                <w:rFonts w:ascii="Arial Narrow" w:hAnsi="Arial Narrow"/>
                <w:sz w:val="22"/>
                <w:szCs w:val="24"/>
              </w:rPr>
              <w:t>odul studiilor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universitare de doctorat, aprobat prin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Hot</w:t>
            </w:r>
            <w:r w:rsidR="004C71C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>rârea Guvernului nr. 681/2011, cu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modific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rile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complet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>rile ulterioare.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7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951F9" w:rsidRPr="00EC54DC" w:rsidRDefault="000951F9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5C4B3E" w:rsidRPr="0084085F" w:rsidTr="00914C9B">
        <w:tc>
          <w:tcPr>
            <w:tcW w:w="2591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241A09" w:rsidRPr="0084085F" w:rsidRDefault="00241A09" w:rsidP="000951F9">
            <w:pPr>
              <w:ind w:left="39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 xml:space="preserve">A.1.2. </w:t>
            </w:r>
            <w:r w:rsidR="000951F9" w:rsidRPr="00241A09">
              <w:rPr>
                <w:rFonts w:ascii="Arial Narrow" w:hAnsi="Arial Narrow"/>
                <w:sz w:val="22"/>
                <w:szCs w:val="24"/>
              </w:rPr>
              <w:t>IOSUD dispune de</w:t>
            </w:r>
            <w:r w:rsidR="000951F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951F9" w:rsidRPr="00241A09">
              <w:rPr>
                <w:rFonts w:ascii="Arial Narrow" w:hAnsi="Arial Narrow"/>
                <w:sz w:val="22"/>
                <w:szCs w:val="24"/>
              </w:rPr>
              <w:t>resursele logistice</w:t>
            </w:r>
            <w:r w:rsidR="000951F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951F9" w:rsidRPr="00241A09">
              <w:rPr>
                <w:rFonts w:ascii="Arial Narrow" w:hAnsi="Arial Narrow"/>
                <w:sz w:val="22"/>
                <w:szCs w:val="24"/>
              </w:rPr>
              <w:t>necesare pentru</w:t>
            </w:r>
            <w:r w:rsidR="000951F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951F9" w:rsidRPr="00241A09">
              <w:rPr>
                <w:rFonts w:ascii="Arial Narrow" w:hAnsi="Arial Narrow"/>
                <w:sz w:val="22"/>
                <w:szCs w:val="24"/>
              </w:rPr>
              <w:t>îndeplinirea misiunii</w:t>
            </w:r>
            <w:r w:rsidR="000951F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951F9" w:rsidRPr="00241A09">
              <w:rPr>
                <w:rFonts w:ascii="Arial Narrow" w:hAnsi="Arial Narrow"/>
                <w:sz w:val="22"/>
                <w:szCs w:val="24"/>
              </w:rPr>
              <w:t>studiilor de doctorat.</w:t>
            </w:r>
          </w:p>
        </w:tc>
        <w:tc>
          <w:tcPr>
            <w:tcW w:w="9934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41A09" w:rsidRPr="000951F9" w:rsidRDefault="000951F9" w:rsidP="0095024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0951F9">
              <w:rPr>
                <w:rFonts w:ascii="Arial Narrow" w:hAnsi="Arial Narrow"/>
                <w:sz w:val="22"/>
                <w:szCs w:val="24"/>
              </w:rPr>
              <w:t>A.1.2.1. Existen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0951F9">
              <w:rPr>
                <w:rFonts w:ascii="Arial Narrow" w:hAnsi="Arial Narrow"/>
                <w:sz w:val="22"/>
                <w:szCs w:val="24"/>
              </w:rPr>
              <w:t xml:space="preserve">a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0951F9">
              <w:rPr>
                <w:rFonts w:ascii="Arial Narrow" w:hAnsi="Arial Narrow"/>
                <w:sz w:val="22"/>
                <w:szCs w:val="24"/>
              </w:rPr>
              <w:t xml:space="preserve">i eficacitatea unui </w:t>
            </w:r>
            <w:r>
              <w:rPr>
                <w:rFonts w:ascii="Arial Narrow" w:hAnsi="Arial Narrow"/>
                <w:sz w:val="22"/>
                <w:szCs w:val="24"/>
              </w:rPr>
              <w:t>s</w:t>
            </w:r>
            <w:r w:rsidR="0095024A">
              <w:rPr>
                <w:rFonts w:ascii="Arial Narrow" w:hAnsi="Arial Narrow"/>
                <w:sz w:val="22"/>
                <w:szCs w:val="24"/>
              </w:rPr>
              <w:t>i</w:t>
            </w:r>
            <w:r>
              <w:rPr>
                <w:rFonts w:ascii="Arial Narrow" w:hAnsi="Arial Narrow"/>
                <w:sz w:val="22"/>
                <w:szCs w:val="24"/>
              </w:rPr>
              <w:t xml:space="preserve">stem </w:t>
            </w:r>
            <w:r w:rsidRPr="000951F9">
              <w:rPr>
                <w:rFonts w:ascii="Arial Narrow" w:hAnsi="Arial Narrow"/>
                <w:sz w:val="22"/>
                <w:szCs w:val="24"/>
              </w:rPr>
              <w:t>informatic adecvat pentru eviden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0951F9">
              <w:rPr>
                <w:rFonts w:ascii="Arial Narrow" w:hAnsi="Arial Narrow"/>
                <w:sz w:val="22"/>
                <w:szCs w:val="24"/>
              </w:rPr>
              <w:t>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951F9">
              <w:rPr>
                <w:rFonts w:ascii="Arial Narrow" w:hAnsi="Arial Narrow"/>
                <w:sz w:val="22"/>
                <w:szCs w:val="24"/>
              </w:rPr>
              <w:t>studen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0951F9">
              <w:rPr>
                <w:rFonts w:ascii="Arial Narrow" w:hAnsi="Arial Narrow"/>
                <w:sz w:val="22"/>
                <w:szCs w:val="24"/>
              </w:rPr>
              <w:t xml:space="preserve">ilor doctoranzi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0951F9">
              <w:rPr>
                <w:rFonts w:ascii="Arial Narrow" w:hAnsi="Arial Narrow"/>
                <w:sz w:val="22"/>
                <w:szCs w:val="24"/>
              </w:rPr>
              <w:t>i a parcursului 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951F9">
              <w:rPr>
                <w:rFonts w:ascii="Arial Narrow" w:hAnsi="Arial Narrow"/>
                <w:sz w:val="22"/>
                <w:szCs w:val="24"/>
              </w:rPr>
              <w:t>academic</w:t>
            </w:r>
          </w:p>
        </w:tc>
        <w:tc>
          <w:tcPr>
            <w:tcW w:w="2965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EC54DC" w:rsidRDefault="00241A09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0951F9" w:rsidRPr="0084085F" w:rsidTr="00914C9B">
        <w:trPr>
          <w:trHeight w:val="522"/>
        </w:trPr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951F9" w:rsidRPr="0084085F" w:rsidRDefault="000951F9" w:rsidP="00081F88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4" w:type="dxa"/>
            <w:gridSpan w:val="2"/>
            <w:tcBorders>
              <w:top w:val="single" w:sz="7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951F9" w:rsidRPr="00EC54DC" w:rsidRDefault="000951F9" w:rsidP="0095024A">
            <w:pPr>
              <w:autoSpaceDE w:val="0"/>
              <w:autoSpaceDN w:val="0"/>
              <w:adjustRightInd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951F9">
              <w:rPr>
                <w:rFonts w:ascii="Arial Narrow" w:hAnsi="Arial Narrow"/>
                <w:sz w:val="22"/>
                <w:szCs w:val="24"/>
              </w:rPr>
              <w:t>A.1.2.2. Existen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0951F9">
              <w:rPr>
                <w:rFonts w:ascii="Arial Narrow" w:hAnsi="Arial Narrow"/>
                <w:sz w:val="22"/>
                <w:szCs w:val="24"/>
              </w:rPr>
              <w:t xml:space="preserve">a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0951F9">
              <w:rPr>
                <w:rFonts w:ascii="Arial Narrow" w:hAnsi="Arial Narrow"/>
                <w:sz w:val="22"/>
                <w:szCs w:val="24"/>
              </w:rPr>
              <w:t>i utilizarea unui program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951F9">
              <w:rPr>
                <w:rFonts w:ascii="Arial Narrow" w:hAnsi="Arial Narrow"/>
                <w:sz w:val="22"/>
                <w:szCs w:val="24"/>
              </w:rPr>
              <w:t xml:space="preserve">informatic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0951F9">
              <w:rPr>
                <w:rFonts w:ascii="Arial Narrow" w:hAnsi="Arial Narrow"/>
                <w:sz w:val="22"/>
                <w:szCs w:val="24"/>
              </w:rPr>
              <w:t>i dovezi ale utiliz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0951F9">
              <w:rPr>
                <w:rFonts w:ascii="Arial Narrow" w:hAnsi="Arial Narrow"/>
                <w:sz w:val="22"/>
                <w:szCs w:val="24"/>
              </w:rPr>
              <w:t>rii sale pentru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951F9">
              <w:rPr>
                <w:rFonts w:ascii="Arial Narrow" w:hAnsi="Arial Narrow"/>
                <w:sz w:val="22"/>
                <w:szCs w:val="24"/>
              </w:rPr>
              <w:t>verificarea procentului de similitudine în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951F9">
              <w:rPr>
                <w:rFonts w:ascii="Arial Narrow" w:hAnsi="Arial Narrow"/>
                <w:sz w:val="22"/>
                <w:szCs w:val="24"/>
              </w:rPr>
              <w:t>toate tezele de doctorat</w:t>
            </w:r>
          </w:p>
        </w:tc>
        <w:tc>
          <w:tcPr>
            <w:tcW w:w="2965" w:type="dxa"/>
            <w:tcBorders>
              <w:top w:val="single" w:sz="7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951F9" w:rsidRPr="00EC54DC" w:rsidRDefault="000951F9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5C4B3E" w:rsidRPr="0084085F" w:rsidTr="00914C9B">
        <w:trPr>
          <w:trHeight w:val="844"/>
        </w:trPr>
        <w:tc>
          <w:tcPr>
            <w:tcW w:w="2591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84085F" w:rsidRDefault="000951F9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4F5CFC">
              <w:rPr>
                <w:rFonts w:ascii="Arial Narrow" w:hAnsi="Arial Narrow"/>
                <w:sz w:val="22"/>
                <w:szCs w:val="24"/>
              </w:rPr>
              <w:lastRenderedPageBreak/>
              <w:t>A.1.3. IOSUD se asigur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c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resursele financiare sunt utilizate în mod optim, iar veniturile ob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inute din studiile doctorale sunt completate prin finan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are suplimentar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fa</w:t>
            </w:r>
            <w:r w:rsidR="00F77517">
              <w:rPr>
                <w:rFonts w:ascii="Arial Narrow" w:hAnsi="Arial Narrow"/>
                <w:sz w:val="22"/>
                <w:szCs w:val="24"/>
              </w:rPr>
              <w:t>ță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de cea oferit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de Guvern.</w:t>
            </w:r>
          </w:p>
        </w:tc>
        <w:tc>
          <w:tcPr>
            <w:tcW w:w="9934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5C4B3E" w:rsidRDefault="005C4B3E" w:rsidP="0095024A">
            <w:pPr>
              <w:autoSpaceDE w:val="0"/>
              <w:autoSpaceDN w:val="0"/>
              <w:adjustRightInd w:val="0"/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</w:pPr>
            <w:r w:rsidRPr="004F5CFC">
              <w:rPr>
                <w:rFonts w:ascii="Arial Narrow" w:hAnsi="Arial Narrow"/>
                <w:sz w:val="22"/>
                <w:szCs w:val="24"/>
              </w:rPr>
              <w:t>A.1.3.1. Existen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a a cel pu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in unui grant de cercetare sau de dezvoltare institu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ional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>/resurse umane în implementare la momentul depunerii dosarului de autoevaluare per domeniu de studii doctorale sau existen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a a cel putin 2 granturi de cercetare sau de dezvoltare institu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ional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>/resurse umane per domeniu de studii doctorale ob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inute de conduc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>torii de doctorat din domeniul evaluat în ultimii 5 ani</w:t>
            </w:r>
            <w:r w:rsidR="0095024A">
              <w:rPr>
                <w:rFonts w:ascii="Arial Narrow" w:hAnsi="Arial Narrow"/>
                <w:sz w:val="22"/>
                <w:szCs w:val="24"/>
              </w:rPr>
              <w:t>.</w:t>
            </w:r>
          </w:p>
        </w:tc>
        <w:tc>
          <w:tcPr>
            <w:tcW w:w="296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6D5A08" w:rsidRDefault="00241A09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5C4B3E" w:rsidRPr="0084085F" w:rsidTr="00914C9B">
        <w:tc>
          <w:tcPr>
            <w:tcW w:w="259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84085F" w:rsidRDefault="00241A09" w:rsidP="00081F88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4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4F5CFC" w:rsidRDefault="005C4B3E" w:rsidP="0095024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4F5CFC">
              <w:rPr>
                <w:rFonts w:ascii="Arial Narrow" w:hAnsi="Arial Narrow"/>
                <w:sz w:val="22"/>
                <w:szCs w:val="24"/>
              </w:rPr>
              <w:t>A.1.3.2. Propor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ia studen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ilor doctoranzi existen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 în momentul evalu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>rii care beneficiaz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pentru minimum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ase luni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4F5CFC">
              <w:rPr>
                <w:rFonts w:ascii="Arial Narrow" w:hAnsi="Arial Narrow"/>
                <w:sz w:val="22"/>
                <w:szCs w:val="24"/>
              </w:rPr>
              <w:t>i de alte surse de finan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are decât finan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area guvernamental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>, prin burse acordate de persoane fizice sau juridice sau sunt sus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inu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 financiar prin granturi de cercetare sau de dezvoltare institu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ional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>/resurse umane, nu este mai mic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de 20%.</w:t>
            </w:r>
          </w:p>
        </w:tc>
        <w:tc>
          <w:tcPr>
            <w:tcW w:w="296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EC54DC" w:rsidRDefault="00241A09" w:rsidP="00081F88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0951F9" w:rsidRPr="0084085F" w:rsidTr="00914C9B">
        <w:trPr>
          <w:trHeight w:val="1024"/>
        </w:trPr>
        <w:tc>
          <w:tcPr>
            <w:tcW w:w="2591" w:type="dxa"/>
            <w:vMerge/>
            <w:tcBorders>
              <w:top w:val="single" w:sz="6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951F9" w:rsidRPr="0084085F" w:rsidRDefault="000951F9" w:rsidP="00081F88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4" w:type="dxa"/>
            <w:gridSpan w:val="2"/>
            <w:tcBorders>
              <w:top w:val="single" w:sz="6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951F9" w:rsidRPr="004F5CFC" w:rsidRDefault="0095024A" w:rsidP="0095024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A.1.3.3. C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>el pu</w:t>
            </w:r>
            <w:r>
              <w:rPr>
                <w:rFonts w:ascii="Arial Narrow" w:hAnsi="Arial Narrow"/>
                <w:sz w:val="22"/>
                <w:szCs w:val="24"/>
              </w:rPr>
              <w:t>ți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>n 10% din totalul sumelor aferente granturilor doctorale ob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>inute de universitate prin contract institu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 xml:space="preserve">ional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 xml:space="preserve">i taxelor de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>colarizare încasate de la 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>ii doctoranzi de la forma de înv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>mânt cu tax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 xml:space="preserve"> se utilizeaz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 xml:space="preserve"> pentru a deconta cheltuielile de formare profesional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 xml:space="preserve"> ale doctoranzilor (participarea la conferin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 xml:space="preserve">e,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>coli de var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>, cursuri, stagii în str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>in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5C4B3E" w:rsidRPr="004F5CFC">
              <w:rPr>
                <w:rFonts w:ascii="Arial Narrow" w:hAnsi="Arial Narrow"/>
                <w:sz w:val="22"/>
                <w:szCs w:val="24"/>
              </w:rPr>
              <w:t>tate, publicare de articole de specialitate sau alte forme specifice de diseminare etc.).</w:t>
            </w:r>
          </w:p>
        </w:tc>
        <w:tc>
          <w:tcPr>
            <w:tcW w:w="2965" w:type="dxa"/>
            <w:tcBorders>
              <w:top w:val="single" w:sz="6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951F9" w:rsidRPr="00EC54DC" w:rsidRDefault="000951F9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EAEAEA"/>
          </w:tcPr>
          <w:p w:rsidR="00241A09" w:rsidRPr="00EC54DC" w:rsidRDefault="005C4B3E" w:rsidP="005C4B3E">
            <w:pPr>
              <w:ind w:left="18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241A09" w:rsidRPr="00EC54D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41A09" w:rsidRPr="00EC54D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Infrastructura de cercetare</w:t>
            </w:r>
          </w:p>
        </w:tc>
      </w:tr>
      <w:tr w:rsidR="005C4B3E" w:rsidRPr="0084085F" w:rsidTr="00914C9B">
        <w:trPr>
          <w:trHeight w:val="1249"/>
        </w:trPr>
        <w:tc>
          <w:tcPr>
            <w:tcW w:w="2591" w:type="dxa"/>
            <w:tcBorders>
              <w:top w:val="single" w:sz="8" w:space="0" w:color="17365D"/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5C4B3E" w:rsidRPr="0084085F" w:rsidRDefault="005C4B3E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4F5CFC">
              <w:rPr>
                <w:rFonts w:ascii="Arial Narrow" w:hAnsi="Arial Narrow"/>
                <w:sz w:val="22"/>
                <w:szCs w:val="24"/>
              </w:rPr>
              <w:t>A.2.1. IOSUD/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4F5CFC">
              <w:rPr>
                <w:rFonts w:ascii="Arial Narrow" w:hAnsi="Arial Narrow"/>
                <w:sz w:val="22"/>
                <w:szCs w:val="24"/>
              </w:rPr>
              <w:t>colile doctorale de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in o infrastructur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modern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de cercetare care sus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ine derularea activit</w:t>
            </w:r>
            <w:r w:rsidR="00F77517">
              <w:rPr>
                <w:rFonts w:ascii="Arial Narrow" w:hAnsi="Arial Narrow"/>
                <w:sz w:val="22"/>
                <w:szCs w:val="24"/>
              </w:rPr>
              <w:t>ăț</w:t>
            </w:r>
            <w:r w:rsidRPr="004F5CFC">
              <w:rPr>
                <w:rFonts w:ascii="Arial Narrow" w:hAnsi="Arial Narrow"/>
                <w:sz w:val="22"/>
                <w:szCs w:val="24"/>
              </w:rPr>
              <w:t>ilor specifice studiilor universitare de doctorat.</w:t>
            </w:r>
          </w:p>
        </w:tc>
        <w:tc>
          <w:tcPr>
            <w:tcW w:w="99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5C4B3E" w:rsidRPr="00EC54DC" w:rsidRDefault="005C4B3E" w:rsidP="0095024A">
            <w:pPr>
              <w:autoSpaceDE w:val="0"/>
              <w:autoSpaceDN w:val="0"/>
              <w:adjustRightInd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F5CFC">
              <w:rPr>
                <w:rFonts w:ascii="Arial Narrow" w:hAnsi="Arial Narrow"/>
                <w:sz w:val="22"/>
                <w:szCs w:val="24"/>
              </w:rPr>
              <w:t>A.2.1.1. Spa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iile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4F5CFC">
              <w:rPr>
                <w:rFonts w:ascii="Arial Narrow" w:hAnsi="Arial Narrow"/>
                <w:sz w:val="22"/>
                <w:szCs w:val="24"/>
              </w:rPr>
              <w:t>i dotarea material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</w:t>
            </w:r>
            <w:proofErr w:type="gramStart"/>
            <w:r w:rsidRPr="004F5CFC">
              <w:rPr>
                <w:rFonts w:ascii="Arial Narrow" w:hAnsi="Arial Narrow"/>
                <w:sz w:val="22"/>
                <w:szCs w:val="24"/>
              </w:rPr>
              <w:t>a</w:t>
            </w:r>
            <w:proofErr w:type="gramEnd"/>
            <w:r w:rsidRPr="004F5CFC">
              <w:rPr>
                <w:rFonts w:ascii="Arial Narrow" w:hAnsi="Arial Narrow"/>
                <w:sz w:val="22"/>
                <w:szCs w:val="24"/>
              </w:rPr>
              <w:t xml:space="preserve"> IOSUD/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4F5CFC">
              <w:rPr>
                <w:rFonts w:ascii="Arial Narrow" w:hAnsi="Arial Narrow"/>
                <w:sz w:val="22"/>
                <w:szCs w:val="24"/>
              </w:rPr>
              <w:t>colii doctorale permit realizarea activit</w:t>
            </w:r>
            <w:r w:rsidR="0095024A">
              <w:rPr>
                <w:rFonts w:ascii="Arial Narrow" w:hAnsi="Arial Narrow"/>
                <w:sz w:val="22"/>
                <w:szCs w:val="24"/>
              </w:rPr>
              <w:t>ăț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ilor de cercetare, în domeniul evaluat, în acord cu misiunea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4F5CFC">
              <w:rPr>
                <w:rFonts w:ascii="Arial Narrow" w:hAnsi="Arial Narrow"/>
                <w:sz w:val="22"/>
                <w:szCs w:val="24"/>
              </w:rPr>
              <w:t>i obiectivele asumate (calculatoare, software specific, aparatur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>, echipamente de laborator, bibliotec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>, acces la baze de date interna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ionale etc.). Infrastructura de cercetare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i oferta de servicii de cercetare sunt prezentate public prin intermediul unei </w:t>
            </w:r>
            <w:r w:rsidR="0095024A">
              <w:rPr>
                <w:rFonts w:ascii="Arial Narrow" w:hAnsi="Arial Narrow"/>
                <w:sz w:val="22"/>
                <w:szCs w:val="24"/>
              </w:rPr>
              <w:t>platforme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de profil. Se va eviden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ia, în mod distinct, infrastructura de cercetare descris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mai sus, achizi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ionat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4F5CFC">
              <w:rPr>
                <w:rFonts w:ascii="Arial Narrow" w:hAnsi="Arial Narrow"/>
                <w:sz w:val="22"/>
                <w:szCs w:val="24"/>
              </w:rPr>
              <w:t>i dezvoltat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în ultimii 5 ani.</w:t>
            </w:r>
          </w:p>
        </w:tc>
        <w:tc>
          <w:tcPr>
            <w:tcW w:w="2977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5C4B3E" w:rsidRPr="006233C1" w:rsidRDefault="005C4B3E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5C4B3E" w:rsidRPr="0084085F" w:rsidTr="00914C9B">
        <w:trPr>
          <w:trHeight w:val="323"/>
        </w:trPr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right w:val="single" w:sz="6" w:space="0" w:color="17365D"/>
            </w:tcBorders>
            <w:shd w:val="clear" w:color="auto" w:fill="EAEAEA"/>
          </w:tcPr>
          <w:p w:rsidR="005C4B3E" w:rsidRPr="006233C1" w:rsidRDefault="005C4B3E" w:rsidP="005C4B3E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Calitatea resursei umane</w:t>
            </w:r>
          </w:p>
        </w:tc>
      </w:tr>
      <w:tr w:rsidR="00EB32B9" w:rsidRPr="0084085F" w:rsidTr="00914C9B">
        <w:tc>
          <w:tcPr>
            <w:tcW w:w="2591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EB32B9" w:rsidRPr="0084085F" w:rsidRDefault="00EB32B9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4F5CFC">
              <w:rPr>
                <w:rFonts w:ascii="Arial Narrow" w:hAnsi="Arial Narrow"/>
                <w:sz w:val="22"/>
                <w:szCs w:val="24"/>
              </w:rPr>
              <w:t>A.3.1. La nivelul fiec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rei 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4F5CFC">
              <w:rPr>
                <w:rFonts w:ascii="Arial Narrow" w:hAnsi="Arial Narrow"/>
                <w:sz w:val="22"/>
                <w:szCs w:val="24"/>
              </w:rPr>
              <w:t>coli doctorale exist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personal calificat cu experien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a necesar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pentru derularea programului de studii doctorale.</w:t>
            </w: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EB32B9" w:rsidRPr="00EB32B9" w:rsidRDefault="00EB32B9" w:rsidP="0095024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EB32B9">
              <w:rPr>
                <w:rFonts w:ascii="Arial Narrow" w:hAnsi="Arial Narrow"/>
                <w:sz w:val="22"/>
                <w:szCs w:val="24"/>
              </w:rPr>
              <w:t>A.3.1.1. În cadrul domeniului de doctorat îs</w:t>
            </w:r>
            <w:r w:rsidR="0095024A">
              <w:rPr>
                <w:rFonts w:ascii="Arial Narrow" w:hAnsi="Arial Narrow"/>
                <w:sz w:val="22"/>
                <w:szCs w:val="24"/>
              </w:rPr>
              <w:t xml:space="preserve">i </w:t>
            </w:r>
            <w:r w:rsidRPr="00EB32B9">
              <w:rPr>
                <w:rFonts w:ascii="Arial Narrow" w:hAnsi="Arial Narrow"/>
                <w:sz w:val="22"/>
                <w:szCs w:val="24"/>
              </w:rPr>
              <w:t>desf</w:t>
            </w:r>
            <w:r w:rsidR="0095024A">
              <w:rPr>
                <w:rFonts w:ascii="Arial Narrow" w:hAnsi="Arial Narrow"/>
                <w:sz w:val="22"/>
                <w:szCs w:val="24"/>
              </w:rPr>
              <w:t>ăș</w:t>
            </w:r>
            <w:r w:rsidRPr="00EB32B9">
              <w:rPr>
                <w:rFonts w:ascii="Arial Narrow" w:hAnsi="Arial Narrow"/>
                <w:sz w:val="22"/>
                <w:szCs w:val="24"/>
              </w:rPr>
              <w:t>oar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activitatea minimum trei conduc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tori de doctorat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i cel pu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in 50% dintre ace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tia (dar nu mai pu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in de trei) îndeplinesc standardele minimale ale Consiliului National de Atestare a Titlurilor, Diplomelor </w:t>
            </w:r>
            <w:r w:rsidR="0095024A">
              <w:rPr>
                <w:rFonts w:ascii="Arial Narrow" w:hAnsi="Arial Narrow"/>
                <w:sz w:val="22"/>
                <w:szCs w:val="24"/>
              </w:rPr>
              <w:t>și C</w:t>
            </w:r>
            <w:r w:rsidRPr="00EB32B9">
              <w:rPr>
                <w:rFonts w:ascii="Arial Narrow" w:hAnsi="Arial Narrow"/>
                <w:sz w:val="22"/>
                <w:szCs w:val="24"/>
              </w:rPr>
              <w:t>ertificatelor Universitare (CNATDCU) aflate în vigoare la momentul realiz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rii evalu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rii, necesare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i obligatorii pentru ob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inerea atestatului de abilitare.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EB32B9" w:rsidRPr="00AC7C96" w:rsidRDefault="00EB32B9" w:rsidP="00081F88">
            <w:pPr>
              <w:ind w:left="105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EB32B9" w:rsidRPr="0084085F" w:rsidTr="00914C9B"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EB32B9" w:rsidRPr="0084085F" w:rsidRDefault="00EB32B9" w:rsidP="00081F88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5" w:space="0" w:color="17365D"/>
              <w:right w:val="single" w:sz="8" w:space="0" w:color="17365D"/>
            </w:tcBorders>
            <w:shd w:val="clear" w:color="auto" w:fill="FFFFFF" w:themeFill="background1"/>
          </w:tcPr>
          <w:p w:rsidR="00EB32B9" w:rsidRPr="00EB32B9" w:rsidRDefault="0095024A" w:rsidP="0095024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A.3.1.2. C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el putin 50% dintre conduc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torii de doctorat din domeniul de doctorat evaluat sunt titulari în cadrul IOSUD. Prin calitatea de titular în cadrul IOSUD analizat se în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elege acel conducator de doctorat care are un contract de munc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 xml:space="preserve"> cu norm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 xml:space="preserve"> întreag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 xml:space="preserve"> pe perioad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 xml:space="preserve"> nedeterminat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 xml:space="preserve"> în institu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ia de înva</w:t>
            </w:r>
            <w:r>
              <w:rPr>
                <w:rFonts w:ascii="Arial Narrow" w:hAnsi="Arial Narrow"/>
                <w:sz w:val="22"/>
                <w:szCs w:val="24"/>
              </w:rPr>
              <w:t>ță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mânt superior coordonatoare a IOSUD sau în una dintre institu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iile componente ale consor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iului care formeaz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 xml:space="preserve"> IOSUD sau parteneriatele înche</w:t>
            </w:r>
            <w:r>
              <w:rPr>
                <w:rFonts w:ascii="Arial Narrow" w:hAnsi="Arial Narrow"/>
                <w:sz w:val="22"/>
                <w:szCs w:val="24"/>
              </w:rPr>
              <w:t>iate în conditiile art. 6 din C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odul aprobat prin Hotarârea Guvernului nr. 681/2011, cu modific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 xml:space="preserve">rile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i complet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rile ulterioare.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5" w:space="0" w:color="17365D"/>
              <w:right w:val="single" w:sz="6" w:space="0" w:color="17365D"/>
            </w:tcBorders>
            <w:shd w:val="clear" w:color="auto" w:fill="FFFFFF" w:themeFill="background1"/>
          </w:tcPr>
          <w:p w:rsidR="00EB32B9" w:rsidRPr="00AC7C96" w:rsidRDefault="00EB32B9" w:rsidP="00081F88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EB32B9" w:rsidRPr="0084085F" w:rsidTr="00914C9B"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EB32B9" w:rsidRPr="0084085F" w:rsidRDefault="00EB32B9" w:rsidP="00081F88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5" w:space="0" w:color="17365D"/>
              <w:right w:val="single" w:sz="8" w:space="0" w:color="17365D"/>
            </w:tcBorders>
            <w:shd w:val="clear" w:color="auto" w:fill="FFFFFF" w:themeFill="background1"/>
          </w:tcPr>
          <w:p w:rsidR="00EB32B9" w:rsidRPr="00EB32B9" w:rsidRDefault="00EB32B9" w:rsidP="0095024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EB32B9">
              <w:rPr>
                <w:rFonts w:ascii="Arial Narrow" w:hAnsi="Arial Narrow"/>
                <w:sz w:val="22"/>
                <w:szCs w:val="24"/>
              </w:rPr>
              <w:t>A.3.1.3. Disciplinele din programul de preg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tire bazat pe studii universitare avansate aferente domeniului sunt sus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inute de cadre didactice sau cercet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tori care au calitatea de conduc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tor d</w:t>
            </w:r>
            <w:r w:rsidR="004C71CA">
              <w:rPr>
                <w:rFonts w:ascii="Arial Narrow" w:hAnsi="Arial Narrow"/>
                <w:sz w:val="22"/>
                <w:szCs w:val="24"/>
              </w:rPr>
              <w:t>e doctorat/abilitat, profesor/C</w:t>
            </w:r>
            <w:r w:rsidRPr="00EB32B9">
              <w:rPr>
                <w:rFonts w:ascii="Arial Narrow" w:hAnsi="Arial Narrow"/>
                <w:sz w:val="22"/>
                <w:szCs w:val="24"/>
              </w:rPr>
              <w:t>S I sau conferen</w:t>
            </w:r>
            <w:r w:rsidR="0095024A">
              <w:rPr>
                <w:rFonts w:ascii="Arial Narrow" w:hAnsi="Arial Narrow"/>
                <w:sz w:val="22"/>
                <w:szCs w:val="24"/>
              </w:rPr>
              <w:t>țiar universitar/C</w:t>
            </w:r>
            <w:r w:rsidRPr="00EB32B9">
              <w:rPr>
                <w:rFonts w:ascii="Arial Narrow" w:hAnsi="Arial Narrow"/>
                <w:sz w:val="22"/>
                <w:szCs w:val="24"/>
              </w:rPr>
              <w:t>S II cu expertiz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probat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în domeniul disciplinelor predate sau al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 speciali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ti în domeniu care îndeplinesc standardele stabilite de institu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ie pentru func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iile didactice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i de cercetare men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ionate anterior, în condi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iile legii.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5" w:space="0" w:color="17365D"/>
              <w:right w:val="single" w:sz="6" w:space="0" w:color="17365D"/>
            </w:tcBorders>
            <w:shd w:val="clear" w:color="auto" w:fill="FFFFFF" w:themeFill="background1"/>
          </w:tcPr>
          <w:p w:rsidR="00EB32B9" w:rsidRPr="00EC54DC" w:rsidRDefault="00EB32B9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32B9" w:rsidRPr="0084085F" w:rsidTr="00914C9B">
        <w:tc>
          <w:tcPr>
            <w:tcW w:w="2591" w:type="dxa"/>
            <w:vMerge/>
            <w:tcBorders>
              <w:left w:val="single" w:sz="6" w:space="0" w:color="17365D"/>
              <w:bottom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EB32B9" w:rsidRPr="0084085F" w:rsidRDefault="00EB32B9" w:rsidP="00081F88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EB32B9" w:rsidRPr="00EB32B9" w:rsidRDefault="00EB32B9" w:rsidP="001F483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EB32B9">
              <w:rPr>
                <w:rFonts w:ascii="Arial Narrow" w:hAnsi="Arial Narrow"/>
                <w:sz w:val="22"/>
                <w:szCs w:val="24"/>
              </w:rPr>
              <w:t>A.3.1.4. Ponderea conduc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torilor de doctorat care coordoneaz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concomitent mai mult de 8 studen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 doctoranzi, dar nu mai mult de 12, afla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 în perioada studiilor universitare de doctorat [3 sau 4 ani, în func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ie de domeniu, la care se adaug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perioadele de prelungire</w:t>
            </w:r>
            <w:r w:rsidR="001F4831">
              <w:rPr>
                <w:rFonts w:ascii="Arial Narrow" w:hAnsi="Arial Narrow"/>
                <w:sz w:val="22"/>
                <w:szCs w:val="24"/>
              </w:rPr>
              <w:t xml:space="preserve"> acordate conform art. 39 alin</w:t>
            </w:r>
            <w:proofErr w:type="gramStart"/>
            <w:r w:rsidR="001F4831">
              <w:rPr>
                <w:rFonts w:ascii="Arial Narrow" w:hAnsi="Arial Narrow"/>
                <w:sz w:val="22"/>
                <w:szCs w:val="24"/>
              </w:rPr>
              <w:t>.(</w:t>
            </w:r>
            <w:proofErr w:type="gramEnd"/>
            <w:r w:rsidR="001F4831">
              <w:rPr>
                <w:rFonts w:ascii="Arial Narrow" w:hAnsi="Arial Narrow"/>
                <w:sz w:val="22"/>
                <w:szCs w:val="24"/>
              </w:rPr>
              <w:t>3) din C</w:t>
            </w:r>
            <w:r w:rsidRPr="00EB32B9">
              <w:rPr>
                <w:rFonts w:ascii="Arial Narrow" w:hAnsi="Arial Narrow"/>
                <w:sz w:val="22"/>
                <w:szCs w:val="24"/>
              </w:rPr>
              <w:t>odul aprobat prin Hot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rârea Guvernului nr. 681/2011, cu modific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rile </w:t>
            </w:r>
            <w:r w:rsidR="001F4831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i complet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rile ulterioare, nu dep</w:t>
            </w:r>
            <w:r w:rsidR="001F4831">
              <w:rPr>
                <w:rFonts w:ascii="Arial Narrow" w:hAnsi="Arial Narrow"/>
                <w:sz w:val="22"/>
                <w:szCs w:val="24"/>
              </w:rPr>
              <w:t>ăș</w:t>
            </w:r>
            <w:r w:rsidRPr="00EB32B9">
              <w:rPr>
                <w:rFonts w:ascii="Arial Narrow" w:hAnsi="Arial Narrow"/>
                <w:sz w:val="22"/>
                <w:szCs w:val="24"/>
              </w:rPr>
              <w:t>este 20%.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EB32B9" w:rsidRPr="00EC54DC" w:rsidRDefault="00EB32B9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51F9" w:rsidRPr="0084085F" w:rsidTr="00914C9B">
        <w:tc>
          <w:tcPr>
            <w:tcW w:w="2591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EB32B9" w:rsidRDefault="00EB32B9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EB32B9">
              <w:rPr>
                <w:rFonts w:ascii="Arial Narrow" w:hAnsi="Arial Narrow"/>
                <w:sz w:val="22"/>
                <w:szCs w:val="24"/>
              </w:rPr>
              <w:t>A.3.2. Conduc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torii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doctorat din cadrul 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colii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doctorale desf</w:t>
            </w:r>
            <w:r w:rsidR="00F77517">
              <w:rPr>
                <w:rFonts w:ascii="Arial Narrow" w:hAnsi="Arial Narrow"/>
                <w:sz w:val="22"/>
                <w:szCs w:val="24"/>
              </w:rPr>
              <w:t>ăș</w:t>
            </w:r>
            <w:r w:rsidRPr="00EB32B9">
              <w:rPr>
                <w:rFonts w:ascii="Arial Narrow" w:hAnsi="Arial Narrow"/>
                <w:sz w:val="22"/>
                <w:szCs w:val="24"/>
              </w:rPr>
              <w:t>oar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o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activitate 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tiin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ific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vizibil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interna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ional.</w:t>
            </w: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EB32B9" w:rsidRDefault="00EB32B9" w:rsidP="001F483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EB32B9">
              <w:rPr>
                <w:rFonts w:ascii="Arial Narrow" w:hAnsi="Arial Narrow"/>
                <w:sz w:val="22"/>
                <w:szCs w:val="24"/>
              </w:rPr>
              <w:t>A.3.2.1. C el pu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in 50% dintre conduc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torii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de doctorat din domeniul supus evalu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rii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prezint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minimum 5 publica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ii indexate Web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of Science sau ERIH în reviste cu factor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impact sau alte realiz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ri, cu semnifica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relevant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pentru domeniul respectiv, în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care se reg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sesc contribu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ii de nivel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interna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ional ce relev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un progres în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cercetarea </w:t>
            </w:r>
            <w:r w:rsidR="001F4831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tiintific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-dezvoltare-inovare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pentru domeniul evaluat. Conduc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torii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doctorat men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ionati au vizibilitate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interna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ional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în ultimii cinci ani, constând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în: calitatea de membru în comitetele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1F4831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tiin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ifice ale publica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iilor </w:t>
            </w:r>
            <w:r w:rsidR="001F4831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i conferin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elor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interna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ionale; calitatea de membru în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board-urile asocia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iilor profesionale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interna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ionale; calitatea de invitat în cadrul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conferin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elor sau grupurilor de exper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lastRenderedPageBreak/>
              <w:t>desf</w:t>
            </w:r>
            <w:r w:rsidR="001F4831">
              <w:rPr>
                <w:rFonts w:ascii="Arial Narrow" w:hAnsi="Arial Narrow"/>
                <w:sz w:val="22"/>
                <w:szCs w:val="24"/>
              </w:rPr>
              <w:t>ăș</w:t>
            </w:r>
            <w:r w:rsidRPr="00EB32B9">
              <w:rPr>
                <w:rFonts w:ascii="Arial Narrow" w:hAnsi="Arial Narrow"/>
                <w:sz w:val="22"/>
                <w:szCs w:val="24"/>
              </w:rPr>
              <w:t>urate în str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in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tate sau calitatea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membru al unor comisii de sus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inere a unor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teze de doctorat la universit</w:t>
            </w:r>
            <w:r w:rsidR="001F4831">
              <w:rPr>
                <w:rFonts w:ascii="Arial Narrow" w:hAnsi="Arial Narrow"/>
                <w:sz w:val="22"/>
                <w:szCs w:val="24"/>
              </w:rPr>
              <w:t>ăț</w:t>
            </w:r>
            <w:r w:rsidRPr="00EB32B9">
              <w:rPr>
                <w:rFonts w:ascii="Arial Narrow" w:hAnsi="Arial Narrow"/>
                <w:sz w:val="22"/>
                <w:szCs w:val="24"/>
              </w:rPr>
              <w:t>i din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str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in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tate sau în cotutel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cu o universitate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din str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in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tate. Pentru ramurile de </w:t>
            </w:r>
            <w:r w:rsidR="001F4831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tiin</w:t>
            </w:r>
            <w:r w:rsidR="001F4831">
              <w:rPr>
                <w:rFonts w:ascii="Arial Narrow" w:hAnsi="Arial Narrow"/>
                <w:sz w:val="22"/>
                <w:szCs w:val="24"/>
              </w:rPr>
              <w:t>ță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Arte </w:t>
            </w:r>
            <w:r w:rsidR="001F4831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i </w:t>
            </w:r>
            <w:r w:rsidR="001F4831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tiin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a sportului </w:t>
            </w:r>
            <w:r w:rsidR="001F4831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i educa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iei fizice,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conduc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>torii de doctorat vor proba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vizibilitatea interna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ional</w:t>
            </w:r>
            <w:r w:rsidR="001F4831">
              <w:rPr>
                <w:rFonts w:ascii="Arial Narrow" w:hAnsi="Arial Narrow"/>
                <w:sz w:val="22"/>
                <w:szCs w:val="24"/>
              </w:rPr>
              <w:t>ă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 în ultimii cinci ani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prin calitatea de membru în board-urile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asocia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iilor profesionale, prin calitatea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membru în comitetele de organizare 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 xml:space="preserve">evenimentelor artistice </w:t>
            </w:r>
            <w:r w:rsidR="001F4831">
              <w:rPr>
                <w:rFonts w:ascii="Arial Narrow" w:hAnsi="Arial Narrow"/>
                <w:sz w:val="22"/>
                <w:szCs w:val="24"/>
              </w:rPr>
              <w:t>ș</w:t>
            </w:r>
            <w:r w:rsidRPr="00EB32B9">
              <w:rPr>
                <w:rFonts w:ascii="Arial Narrow" w:hAnsi="Arial Narrow"/>
                <w:sz w:val="22"/>
                <w:szCs w:val="24"/>
              </w:rPr>
              <w:t>i competi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iilor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interna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ionale, respectiv prin calitatea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membru în jurii sau echipe de arbitraj în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cadrul evenimentelor artistice sau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EB32B9">
              <w:rPr>
                <w:rFonts w:ascii="Arial Narrow" w:hAnsi="Arial Narrow"/>
                <w:sz w:val="22"/>
                <w:szCs w:val="24"/>
              </w:rPr>
              <w:t>competi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iilor interna</w:t>
            </w:r>
            <w:r w:rsidR="001F4831">
              <w:rPr>
                <w:rFonts w:ascii="Arial Narrow" w:hAnsi="Arial Narrow"/>
                <w:sz w:val="22"/>
                <w:szCs w:val="24"/>
              </w:rPr>
              <w:t>ț</w:t>
            </w:r>
            <w:r w:rsidRPr="00EB32B9">
              <w:rPr>
                <w:rFonts w:ascii="Arial Narrow" w:hAnsi="Arial Narrow"/>
                <w:sz w:val="22"/>
                <w:szCs w:val="24"/>
              </w:rPr>
              <w:t>ionale.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EC54DC" w:rsidRDefault="00241A09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32B9" w:rsidRPr="0084085F" w:rsidTr="00914C9B">
        <w:trPr>
          <w:trHeight w:val="819"/>
        </w:trPr>
        <w:tc>
          <w:tcPr>
            <w:tcW w:w="259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EB32B9" w:rsidRPr="00EB32B9" w:rsidRDefault="00EB32B9" w:rsidP="00081F88">
            <w:pPr>
              <w:ind w:left="104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EB32B9" w:rsidRPr="00EB32B9" w:rsidRDefault="001F4831" w:rsidP="001F483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A.3.2.2. C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el putin 50% dintre conduc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torii</w:t>
            </w:r>
            <w:r w:rsidR="00EB32B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de doctorat aronda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i unui domeniu de studii</w:t>
            </w:r>
            <w:r w:rsidR="00EB32B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doctorale continu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 xml:space="preserve"> s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 xml:space="preserve"> fie activi în plan</w:t>
            </w:r>
            <w:r w:rsidR="00EB32B9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tiin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ific, ob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inând cel pu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in 25% din</w:t>
            </w:r>
            <w:r w:rsidR="00EB32B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punctajul solicitat prin standardele minimale</w:t>
            </w:r>
            <w:r w:rsidR="00EB32B9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CNATDC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U în vigoare la data evalu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rii,</w:t>
            </w:r>
            <w:r w:rsidR="00EB32B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 xml:space="preserve">necesare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i obligatorii pentru ob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inerea</w:t>
            </w:r>
            <w:r w:rsidR="00EB32B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atestatului de abilitare, pe baza rezultatelor</w:t>
            </w:r>
            <w:r w:rsidR="00EB32B9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tiin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EB32B9" w:rsidRPr="00EB32B9">
              <w:rPr>
                <w:rFonts w:ascii="Arial Narrow" w:hAnsi="Arial Narrow"/>
                <w:sz w:val="22"/>
                <w:szCs w:val="24"/>
              </w:rPr>
              <w:t>ifice din ultimii cinci ani.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EB32B9" w:rsidRPr="00EC54DC" w:rsidRDefault="00EB32B9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6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DAEDF3"/>
          </w:tcPr>
          <w:p w:rsidR="00241A09" w:rsidRPr="00EB32B9" w:rsidRDefault="00EB32B9" w:rsidP="00172735">
            <w:pPr>
              <w:ind w:left="3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32B9">
              <w:rPr>
                <w:rFonts w:ascii="Arial Narrow" w:hAnsi="Arial Narrow"/>
                <w:b/>
                <w:sz w:val="22"/>
                <w:szCs w:val="22"/>
              </w:rPr>
              <w:t>B: EFICACITATEA EDUCAȚIONALĂ</w:t>
            </w:r>
          </w:p>
        </w:tc>
      </w:tr>
      <w:tr w:rsidR="00EB32B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EAEAEA"/>
          </w:tcPr>
          <w:p w:rsidR="00EB32B9" w:rsidRPr="00EC54DC" w:rsidRDefault="00EB32B9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1EE8">
              <w:rPr>
                <w:rFonts w:ascii="Arial Narrow" w:hAnsi="Arial Narrow"/>
                <w:b/>
                <w:sz w:val="22"/>
                <w:szCs w:val="22"/>
              </w:rPr>
              <w:t>B.1. Num</w:t>
            </w:r>
            <w:r w:rsidR="00F77517">
              <w:rPr>
                <w:rFonts w:ascii="Arial Narrow" w:hAnsi="Arial Narrow"/>
                <w:b/>
                <w:sz w:val="22"/>
                <w:szCs w:val="22"/>
              </w:rPr>
              <w:t>ă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rul,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 xml:space="preserve">calitatea </w:t>
            </w:r>
            <w:r w:rsidR="00F77517">
              <w:rPr>
                <w:rFonts w:ascii="Arial Narrow" w:hAnsi="Arial Narrow"/>
                <w:b/>
                <w:sz w:val="22"/>
                <w:szCs w:val="22"/>
              </w:rPr>
              <w:t>ș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diversitatea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candida</w:t>
            </w:r>
            <w:r w:rsidR="00F77517">
              <w:rPr>
                <w:rFonts w:ascii="Arial Narrow" w:hAnsi="Arial Narrow"/>
                <w:b/>
                <w:sz w:val="22"/>
                <w:szCs w:val="22"/>
              </w:rPr>
              <w:t>ț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ilor care s-au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prezentat la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concursul de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admitere</w:t>
            </w:r>
          </w:p>
        </w:tc>
      </w:tr>
      <w:tr w:rsidR="00AF1EE8" w:rsidRPr="0084085F" w:rsidTr="00914C9B">
        <w:trPr>
          <w:trHeight w:val="1608"/>
        </w:trPr>
        <w:tc>
          <w:tcPr>
            <w:tcW w:w="259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1EE8">
              <w:rPr>
                <w:rFonts w:ascii="Arial Narrow" w:hAnsi="Arial Narrow"/>
                <w:sz w:val="22"/>
                <w:szCs w:val="24"/>
              </w:rPr>
              <w:t>B.1.1. Institu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organizatoare de studii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doctorale are capacitatea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de </w:t>
            </w:r>
            <w:proofErr w:type="gramStart"/>
            <w:r w:rsidRPr="00AF1EE8">
              <w:rPr>
                <w:rFonts w:ascii="Arial Narrow" w:hAnsi="Arial Narrow"/>
                <w:sz w:val="22"/>
                <w:szCs w:val="24"/>
              </w:rPr>
              <w:t>a</w:t>
            </w:r>
            <w:proofErr w:type="gramEnd"/>
            <w:r w:rsidRPr="00AF1EE8">
              <w:rPr>
                <w:rFonts w:ascii="Arial Narrow" w:hAnsi="Arial Narrow"/>
                <w:sz w:val="22"/>
                <w:szCs w:val="24"/>
              </w:rPr>
              <w:t xml:space="preserve"> atrage un num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r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candida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 mai mare decât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num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rul de locuri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disponibile.</w:t>
            </w: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33529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1EE8">
              <w:rPr>
                <w:rFonts w:ascii="Arial Narrow" w:hAnsi="Arial Narrow"/>
                <w:sz w:val="22"/>
                <w:szCs w:val="24"/>
              </w:rPr>
              <w:t>B.1.1.1. Raportul dintre num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rul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absolven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ilor la nivel de masterat ai altor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institu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ii de înv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mânt superior din 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ar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sau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din str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in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tate care s-au înscris la concursul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de admitere la studii universitare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doctorat în ultimii cinci ani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i num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rul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locuri finan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ate de la bugetul de stat scoase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la concurs în cadrul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colii doctorale este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cel putin 0</w:t>
            </w:r>
            <w:proofErr w:type="gramStart"/>
            <w:r w:rsidRPr="00AF1EE8">
              <w:rPr>
                <w:rFonts w:ascii="Arial Narrow" w:hAnsi="Arial Narrow"/>
                <w:sz w:val="22"/>
                <w:szCs w:val="24"/>
              </w:rPr>
              <w:t>,2</w:t>
            </w:r>
            <w:proofErr w:type="gramEnd"/>
            <w:r w:rsidRPr="00AF1EE8">
              <w:rPr>
                <w:rFonts w:ascii="Arial Narrow" w:hAnsi="Arial Narrow"/>
                <w:sz w:val="22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EC54DC" w:rsidRDefault="00AF1EE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EE8" w:rsidRPr="0084085F" w:rsidTr="00914C9B">
        <w:trPr>
          <w:trHeight w:val="855"/>
        </w:trPr>
        <w:tc>
          <w:tcPr>
            <w:tcW w:w="259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F77517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B.1.2. C</w:t>
            </w:r>
            <w:r w:rsidR="00AF1EE8" w:rsidRPr="00AF1EE8">
              <w:rPr>
                <w:rFonts w:ascii="Arial Narrow" w:hAnsi="Arial Narrow"/>
                <w:sz w:val="22"/>
                <w:szCs w:val="24"/>
              </w:rPr>
              <w:t>andida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AF1EE8" w:rsidRPr="00AF1EE8">
              <w:rPr>
                <w:rFonts w:ascii="Arial Narrow" w:hAnsi="Arial Narrow"/>
                <w:sz w:val="22"/>
                <w:szCs w:val="24"/>
              </w:rPr>
              <w:t>ii admi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AF1EE8" w:rsidRPr="00AF1EE8">
              <w:rPr>
                <w:rFonts w:ascii="Arial Narrow" w:hAnsi="Arial Narrow"/>
                <w:sz w:val="22"/>
                <w:szCs w:val="24"/>
              </w:rPr>
              <w:t>i la</w:t>
            </w:r>
            <w:r w:rsidR="00AF1EE8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F1EE8" w:rsidRPr="00AF1EE8">
              <w:rPr>
                <w:rFonts w:ascii="Arial Narrow" w:hAnsi="Arial Narrow"/>
                <w:sz w:val="22"/>
                <w:szCs w:val="24"/>
              </w:rPr>
              <w:t>studiile de doctorat sunt</w:t>
            </w:r>
            <w:r w:rsidR="00AF1EE8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F1EE8" w:rsidRPr="00AF1EE8">
              <w:rPr>
                <w:rFonts w:ascii="Arial Narrow" w:hAnsi="Arial Narrow"/>
                <w:sz w:val="22"/>
                <w:szCs w:val="24"/>
              </w:rPr>
              <w:t>de cea mai înalt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AF1EE8" w:rsidRPr="00AF1EE8">
              <w:rPr>
                <w:rFonts w:ascii="Arial Narrow" w:hAnsi="Arial Narrow"/>
                <w:sz w:val="22"/>
                <w:szCs w:val="24"/>
              </w:rPr>
              <w:t xml:space="preserve"> calitate.</w:t>
            </w: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33529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1EE8">
              <w:rPr>
                <w:rFonts w:ascii="Arial Narrow" w:hAnsi="Arial Narrow"/>
                <w:sz w:val="22"/>
                <w:szCs w:val="24"/>
              </w:rPr>
              <w:t>B.1.2.1. Rata de renun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are/abandon 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studen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ilor doctoranzi la 2 ani de la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admitere nu dep</w:t>
            </w:r>
            <w:r w:rsidR="0033529C">
              <w:rPr>
                <w:rFonts w:ascii="Arial Narrow" w:hAnsi="Arial Narrow"/>
                <w:sz w:val="22"/>
                <w:szCs w:val="24"/>
              </w:rPr>
              <w:t>ăș</w:t>
            </w:r>
            <w:r w:rsidRPr="00AF1EE8">
              <w:rPr>
                <w:rFonts w:ascii="Arial Narrow" w:hAnsi="Arial Narrow"/>
                <w:sz w:val="22"/>
                <w:szCs w:val="24"/>
              </w:rPr>
              <w:t>este 30%.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EC54DC" w:rsidRDefault="00AF1EE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EAEAEA"/>
          </w:tcPr>
          <w:p w:rsidR="00241A09" w:rsidRPr="00EC54DC" w:rsidRDefault="00AF1EE8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1EE8">
              <w:rPr>
                <w:rFonts w:ascii="Arial Narrow" w:hAnsi="Arial Narrow"/>
                <w:b/>
                <w:sz w:val="22"/>
                <w:szCs w:val="22"/>
              </w:rPr>
              <w:t>B.2. Con</w:t>
            </w:r>
            <w:r w:rsidR="00F77517">
              <w:rPr>
                <w:rFonts w:ascii="Arial Narrow" w:hAnsi="Arial Narrow"/>
                <w:b/>
                <w:sz w:val="22"/>
                <w:szCs w:val="22"/>
              </w:rPr>
              <w:t>ț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inutul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programelor de studii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universitare de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doctorat</w:t>
            </w:r>
          </w:p>
        </w:tc>
      </w:tr>
      <w:tr w:rsidR="00AF1EE8" w:rsidRPr="0084085F" w:rsidTr="00914C9B">
        <w:tc>
          <w:tcPr>
            <w:tcW w:w="2591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1EE8">
              <w:rPr>
                <w:rFonts w:ascii="Arial Narrow" w:hAnsi="Arial Narrow"/>
                <w:sz w:val="22"/>
                <w:szCs w:val="24"/>
              </w:rPr>
              <w:t>B.2.1. Programul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preg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tire bazat pe studii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universitare avansate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este adecvat pentru </w:t>
            </w:r>
            <w:proofErr w:type="gramStart"/>
            <w:r w:rsidRPr="00AF1EE8">
              <w:rPr>
                <w:rFonts w:ascii="Arial Narrow" w:hAnsi="Arial Narrow"/>
                <w:sz w:val="22"/>
                <w:szCs w:val="24"/>
              </w:rPr>
              <w:t>a</w:t>
            </w:r>
            <w:proofErr w:type="gramEnd"/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îmbun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t</w:t>
            </w:r>
            <w:r w:rsidR="00F77517">
              <w:rPr>
                <w:rFonts w:ascii="Arial Narrow" w:hAnsi="Arial Narrow"/>
                <w:sz w:val="22"/>
                <w:szCs w:val="24"/>
              </w:rPr>
              <w:t>ăț</w:t>
            </w:r>
            <w:r w:rsidRPr="00AF1EE8">
              <w:rPr>
                <w:rFonts w:ascii="Arial Narrow" w:hAnsi="Arial Narrow"/>
                <w:sz w:val="22"/>
                <w:szCs w:val="24"/>
              </w:rPr>
              <w:t>i competen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ele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de cercetare ale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doctoranzilor 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i pentru 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înt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ri comportamentul etic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în 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tiint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33529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1EE8">
              <w:rPr>
                <w:rFonts w:ascii="Arial Narrow" w:hAnsi="Arial Narrow"/>
                <w:sz w:val="22"/>
                <w:szCs w:val="24"/>
              </w:rPr>
              <w:t>B.2.1.1. Programul de preg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tire bazat pe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studii universitare avansate cuprinde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minimum trei discipline relevante pentru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preg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tirea în cercetarea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tiin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ific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doctoranzilor, dintre care cel pu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in o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disciplin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este destinat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studiului aprofundat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al metodologiei cercet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rii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i/sau prelucr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rii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statistice a datelor.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EC54DC" w:rsidRDefault="00AF1EE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EE8" w:rsidRPr="0084085F" w:rsidTr="00914C9B">
        <w:tc>
          <w:tcPr>
            <w:tcW w:w="259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081F88">
            <w:pPr>
              <w:ind w:left="104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33529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1EE8">
              <w:rPr>
                <w:rFonts w:ascii="Arial Narrow" w:hAnsi="Arial Narrow"/>
                <w:sz w:val="22"/>
                <w:szCs w:val="24"/>
              </w:rPr>
              <w:t>B.2.1.2. Exist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cel pu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in o disciplin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dedicat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eticii în cercetarea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tiin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ific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propriet</w:t>
            </w:r>
            <w:r w:rsidR="0033529C">
              <w:rPr>
                <w:rFonts w:ascii="Arial Narrow" w:hAnsi="Arial Narrow"/>
                <w:sz w:val="22"/>
                <w:szCs w:val="24"/>
              </w:rPr>
              <w:t>ăț</w:t>
            </w:r>
            <w:r w:rsidRPr="00AF1EE8">
              <w:rPr>
                <w:rFonts w:ascii="Arial Narrow" w:hAnsi="Arial Narrow"/>
                <w:sz w:val="22"/>
                <w:szCs w:val="24"/>
              </w:rPr>
              <w:t>ii intelectuale sau tematici bine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delimitate pe aceste subiecte în cadrul unei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discipline predate în programul doctoral.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426574" w:rsidRDefault="00AF1EE8" w:rsidP="00081F88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AF1EE8" w:rsidRPr="0084085F" w:rsidTr="00914C9B">
        <w:tc>
          <w:tcPr>
            <w:tcW w:w="259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081F88">
            <w:pPr>
              <w:ind w:left="104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02414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1EE8">
              <w:rPr>
                <w:rFonts w:ascii="Arial Narrow" w:hAnsi="Arial Narrow"/>
                <w:sz w:val="22"/>
                <w:szCs w:val="24"/>
              </w:rPr>
              <w:t>B.2.1.3. IOSUD are create mecanismele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prin care se asigur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c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programul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preg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tire bazat pe studii universitare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avansate, aferent domeniului evaluat,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vizeaz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"rezultatele înv</w:t>
            </w:r>
            <w:r w:rsidR="0033529C">
              <w:rPr>
                <w:rFonts w:ascii="Arial Narrow" w:hAnsi="Arial Narrow"/>
                <w:sz w:val="22"/>
                <w:szCs w:val="24"/>
              </w:rPr>
              <w:t>ăță</w:t>
            </w:r>
            <w:r w:rsidRPr="00AF1EE8">
              <w:rPr>
                <w:rFonts w:ascii="Arial Narrow" w:hAnsi="Arial Narrow"/>
                <w:sz w:val="22"/>
                <w:szCs w:val="24"/>
              </w:rPr>
              <w:t>rii", precizând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cuno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tin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ele, abilit</w:t>
            </w:r>
            <w:r w:rsidR="0033529C">
              <w:rPr>
                <w:rFonts w:ascii="Arial Narrow" w:hAnsi="Arial Narrow"/>
                <w:sz w:val="22"/>
                <w:szCs w:val="24"/>
              </w:rPr>
              <w:t>ăț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ile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i responsabilitatea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i autonomia pe care studen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ii doctoranzi ar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trebui s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le dobândeasc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dup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parcurgerea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fiec</w:t>
            </w:r>
            <w:r w:rsidR="00024146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rei discipline sau prin activit</w:t>
            </w:r>
            <w:r w:rsidR="0033529C">
              <w:rPr>
                <w:rFonts w:ascii="Arial Narrow" w:hAnsi="Arial Narrow"/>
                <w:sz w:val="22"/>
                <w:szCs w:val="24"/>
              </w:rPr>
              <w:t>ăț</w:t>
            </w:r>
            <w:r w:rsidRPr="00AF1EE8">
              <w:rPr>
                <w:rFonts w:ascii="Arial Narrow" w:hAnsi="Arial Narrow"/>
                <w:sz w:val="22"/>
                <w:szCs w:val="24"/>
              </w:rPr>
              <w:t>ile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cercetare.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EC54DC" w:rsidRDefault="00AF1EE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EE8" w:rsidRPr="0084085F" w:rsidTr="00914C9B">
        <w:tc>
          <w:tcPr>
            <w:tcW w:w="259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081F88">
            <w:pPr>
              <w:ind w:left="104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33529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1EE8">
              <w:rPr>
                <w:rFonts w:ascii="Arial Narrow" w:hAnsi="Arial Narrow"/>
                <w:sz w:val="22"/>
                <w:szCs w:val="24"/>
              </w:rPr>
              <w:t>B.2.1.4. Pe întreaga durat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a stagiului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pregatire doctoral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, studen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ii doctoranzi din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domeniu beneficiaz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consilierea/îndrumarea unor comisii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îndrumare func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AF1EE8">
              <w:rPr>
                <w:rFonts w:ascii="Arial Narrow" w:hAnsi="Arial Narrow"/>
                <w:sz w:val="22"/>
                <w:szCs w:val="24"/>
              </w:rPr>
              <w:t>ionale, aspect reflectat prin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îndrumare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i feedback scris sau întâlniri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regulate.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EC54DC" w:rsidRDefault="00AF1EE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EE8" w:rsidRPr="0084085F" w:rsidTr="00914C9B">
        <w:tc>
          <w:tcPr>
            <w:tcW w:w="259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081F88">
            <w:pPr>
              <w:ind w:left="104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33529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1EE8">
              <w:rPr>
                <w:rFonts w:ascii="Arial Narrow" w:hAnsi="Arial Narrow"/>
                <w:sz w:val="22"/>
                <w:szCs w:val="24"/>
              </w:rPr>
              <w:t>B.2.1.5. Pentru un domeniu de studii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doctorat raportul dintre num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rul de </w:t>
            </w:r>
            <w:r>
              <w:rPr>
                <w:rFonts w:ascii="Arial Narrow" w:hAnsi="Arial Narrow"/>
                <w:sz w:val="22"/>
                <w:szCs w:val="24"/>
              </w:rPr>
              <w:t>studen</w:t>
            </w:r>
            <w:r w:rsidR="0033529C">
              <w:rPr>
                <w:rFonts w:ascii="Arial Narrow" w:hAnsi="Arial Narrow"/>
                <w:sz w:val="22"/>
                <w:szCs w:val="24"/>
              </w:rPr>
              <w:t>ți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doctoranzi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AF1EE8">
              <w:rPr>
                <w:rFonts w:ascii="Arial Narrow" w:hAnsi="Arial Narrow"/>
                <w:sz w:val="22"/>
                <w:szCs w:val="24"/>
              </w:rPr>
              <w:t>i num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rul cadrelor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didactice/cercet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>tori care asigur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1EE8">
              <w:rPr>
                <w:rFonts w:ascii="Arial Narrow" w:hAnsi="Arial Narrow"/>
                <w:sz w:val="22"/>
                <w:szCs w:val="24"/>
              </w:rPr>
              <w:t>îndrumarea nu trebuie s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AF1EE8">
              <w:rPr>
                <w:rFonts w:ascii="Arial Narrow" w:hAnsi="Arial Narrow"/>
                <w:sz w:val="22"/>
                <w:szCs w:val="24"/>
              </w:rPr>
              <w:t xml:space="preserve"> fie mai mare de 3:1.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EC54DC" w:rsidRDefault="00AF1EE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1F88" w:rsidRPr="0084085F" w:rsidTr="00914C9B">
        <w:tc>
          <w:tcPr>
            <w:tcW w:w="15490" w:type="dxa"/>
            <w:gridSpan w:val="4"/>
            <w:tcBorders>
              <w:top w:val="single" w:sz="6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EAEAEA"/>
          </w:tcPr>
          <w:p w:rsidR="00081F88" w:rsidRPr="00081F88" w:rsidRDefault="00081F88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B.3. Rezultatele studiilor doctorale 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ș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i proceduri </w:t>
            </w:r>
            <w:proofErr w:type="gramStart"/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de evaluare</w:t>
            </w:r>
            <w:proofErr w:type="gramEnd"/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a acestora</w:t>
            </w:r>
          </w:p>
        </w:tc>
      </w:tr>
      <w:tr w:rsidR="00081F88" w:rsidRPr="0084085F" w:rsidTr="00914C9B">
        <w:tc>
          <w:tcPr>
            <w:tcW w:w="2591" w:type="dxa"/>
            <w:vMerge w:val="restart"/>
            <w:tcBorders>
              <w:top w:val="single" w:sz="8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AF1EE8" w:rsidRDefault="00081F88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B.3.1. Cercetarea este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valorificat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de c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tre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studen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ii doctoranzi prin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prezent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ri la conferin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tiin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ifice, publica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tiin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ifice, prin transfer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lastRenderedPageBreak/>
              <w:t>tehnologic, patente,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produse, comenzi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servicii.</w:t>
            </w:r>
          </w:p>
        </w:tc>
        <w:tc>
          <w:tcPr>
            <w:tcW w:w="9922" w:type="dxa"/>
            <w:tcBorders>
              <w:top w:val="single" w:sz="8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81F88" w:rsidP="0033529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lastRenderedPageBreak/>
              <w:t>B.3.1.1. Pentru domeniul evaluat se pun la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dispozi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ia comisiei de evaluare minimum un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articol sau o alt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contribu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ie relevant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per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student doctorand care </w:t>
            </w:r>
            <w:proofErr w:type="gramStart"/>
            <w:r w:rsidRPr="002C44A0">
              <w:rPr>
                <w:rFonts w:ascii="Arial Narrow" w:hAnsi="Arial Narrow"/>
                <w:sz w:val="22"/>
                <w:szCs w:val="24"/>
              </w:rPr>
              <w:t>a</w:t>
            </w:r>
            <w:proofErr w:type="gramEnd"/>
            <w:r w:rsidRPr="002C44A0">
              <w:rPr>
                <w:rFonts w:ascii="Arial Narrow" w:hAnsi="Arial Narrow"/>
                <w:sz w:val="22"/>
                <w:szCs w:val="24"/>
              </w:rPr>
              <w:t xml:space="preserve"> ob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inut titlul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doctor în ultimii 5 ani. Din aceast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list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,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membrii comisiei de evaluare selecteaz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pentru analiz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, aleatoriu, 5 astfel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articole/contribu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ii relevante per domeniu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de studii universitare de doctorat.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Articolele, astfel selectate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analizate, vor</w:t>
            </w:r>
            <w:r w:rsidR="0033529C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primi un calificativ privind contribu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ia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original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la dezvoltarea domeniului, pe o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scal</w:t>
            </w:r>
            <w:r w:rsidR="0033529C">
              <w:rPr>
                <w:rFonts w:ascii="Arial Narrow" w:hAnsi="Arial Narrow"/>
                <w:sz w:val="22"/>
                <w:szCs w:val="24"/>
              </w:rPr>
              <w:t>ă de la 1 la 5. C</w:t>
            </w:r>
            <w:r w:rsidRPr="002C44A0">
              <w:rPr>
                <w:rFonts w:ascii="Arial Narrow" w:hAnsi="Arial Narrow"/>
                <w:sz w:val="22"/>
                <w:szCs w:val="24"/>
              </w:rPr>
              <w:t>el pu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 trei articole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trebuie s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ating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pragul 3.</w:t>
            </w:r>
          </w:p>
        </w:tc>
        <w:tc>
          <w:tcPr>
            <w:tcW w:w="2977" w:type="dxa"/>
            <w:gridSpan w:val="2"/>
            <w:tcBorders>
              <w:top w:val="single" w:sz="8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EC54DC" w:rsidRDefault="00081F8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1F88" w:rsidRPr="0084085F" w:rsidTr="00914C9B">
        <w:tc>
          <w:tcPr>
            <w:tcW w:w="2591" w:type="dxa"/>
            <w:vMerge/>
            <w:tcBorders>
              <w:left w:val="single" w:sz="6" w:space="0" w:color="17365D"/>
              <w:bottom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AF1EE8" w:rsidRDefault="00081F88" w:rsidP="00081F88">
            <w:pPr>
              <w:ind w:left="104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AF1EE8" w:rsidRDefault="00081F88" w:rsidP="0033529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B.3.1.2. Raportul dintre num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rul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prezent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ri ale studen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ilor-doctoranzi care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i-au încheiat studiile doctorale în perioada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evaluat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(ultimii 5 ani), inclusiv cele de tip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poster, expozi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ii, realizate la manifest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interna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ionale de prestigiu (desf</w:t>
            </w:r>
            <w:r w:rsidR="0033529C">
              <w:rPr>
                <w:rFonts w:ascii="Arial Narrow" w:hAnsi="Arial Narrow"/>
                <w:sz w:val="22"/>
                <w:szCs w:val="24"/>
              </w:rPr>
              <w:t>ăș</w:t>
            </w:r>
            <w:r w:rsidRPr="002C44A0">
              <w:rPr>
                <w:rFonts w:ascii="Arial Narrow" w:hAnsi="Arial Narrow"/>
                <w:sz w:val="22"/>
                <w:szCs w:val="24"/>
              </w:rPr>
              <w:t>urate în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ar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sau în str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inatate)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num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rul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studen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ilor doctoranzi care </w:t>
            </w:r>
            <w:r w:rsidR="0033529C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i-au încheiat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studiile doctorale în perioada </w:t>
            </w:r>
            <w:r w:rsidR="002C44A0">
              <w:rPr>
                <w:rFonts w:ascii="Arial Narrow" w:hAnsi="Arial Narrow"/>
                <w:sz w:val="22"/>
                <w:szCs w:val="24"/>
              </w:rPr>
              <w:t>evaluat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(ultimii cinci ani) este cel pu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 egal cu 1.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EC54DC" w:rsidRDefault="00081F8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1F88" w:rsidRPr="0084085F" w:rsidTr="00914C9B">
        <w:tc>
          <w:tcPr>
            <w:tcW w:w="2591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AF1EE8" w:rsidRDefault="00081F88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lastRenderedPageBreak/>
              <w:t xml:space="preserve">B.3.2. 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coala doctoral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apeleaz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la un num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semnificativ de referen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tiin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ifici externi în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comisiile de sus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inere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public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2C44A0" w:rsidRDefault="00081F88" w:rsidP="0082488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B.3.2.1. Num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rul de teze de doctorat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alocate unui anumit referent provenind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la o institu</w:t>
            </w:r>
            <w:r w:rsidR="0033529C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ie de înv</w:t>
            </w:r>
            <w:r w:rsidR="0033529C">
              <w:rPr>
                <w:rFonts w:ascii="Arial Narrow" w:hAnsi="Arial Narrow"/>
                <w:sz w:val="22"/>
                <w:szCs w:val="24"/>
              </w:rPr>
              <w:t>ăță</w:t>
            </w:r>
            <w:r w:rsidRPr="002C44A0">
              <w:rPr>
                <w:rFonts w:ascii="Arial Narrow" w:hAnsi="Arial Narrow"/>
                <w:sz w:val="22"/>
                <w:szCs w:val="24"/>
              </w:rPr>
              <w:t>mânt superior, alta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decât IOSUD evaluat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, nu trebuie s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dep</w:t>
            </w:r>
            <w:r w:rsidR="0033529C">
              <w:rPr>
                <w:rFonts w:ascii="Arial Narrow" w:hAnsi="Arial Narrow"/>
                <w:sz w:val="22"/>
                <w:szCs w:val="24"/>
              </w:rPr>
              <w:t>ăș</w:t>
            </w:r>
            <w:r w:rsidRPr="002C44A0">
              <w:rPr>
                <w:rFonts w:ascii="Arial Narrow" w:hAnsi="Arial Narrow"/>
                <w:sz w:val="22"/>
                <w:szCs w:val="24"/>
              </w:rPr>
              <w:t>easc</w:t>
            </w:r>
            <w:r w:rsidR="0033529C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dou</w:t>
            </w:r>
            <w:r w:rsidR="00824889">
              <w:rPr>
                <w:rFonts w:ascii="Arial Narrow" w:hAnsi="Arial Narrow"/>
                <w:sz w:val="22"/>
                <w:szCs w:val="24"/>
              </w:rPr>
              <w:t>ă</w:t>
            </w:r>
            <w:bookmarkStart w:id="0" w:name="_GoBack"/>
            <w:bookmarkEnd w:id="0"/>
            <w:r w:rsidRPr="002C44A0">
              <w:rPr>
                <w:rFonts w:ascii="Arial Narrow" w:hAnsi="Arial Narrow"/>
                <w:sz w:val="22"/>
                <w:szCs w:val="24"/>
              </w:rPr>
              <w:t xml:space="preserve"> (2) pentru tezele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coordonate de acela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conduc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tor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doctorat, într-un an.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EC54DC" w:rsidRDefault="00081F8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1F88" w:rsidRPr="0084085F" w:rsidTr="00914C9B">
        <w:tc>
          <w:tcPr>
            <w:tcW w:w="259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AF1EE8" w:rsidRDefault="00081F88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AF1EE8" w:rsidRDefault="00081F88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B.3.2.2. Raportul dintre num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rul tezelor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doctorat alocate unui anumit referent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tiin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ific provenit de la o alt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institu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ie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înv</w:t>
            </w:r>
            <w:r w:rsidR="000B3730">
              <w:rPr>
                <w:rFonts w:ascii="Arial Narrow" w:hAnsi="Arial Narrow"/>
                <w:sz w:val="22"/>
                <w:szCs w:val="24"/>
              </w:rPr>
              <w:t>ăță</w:t>
            </w:r>
            <w:r w:rsidRPr="002C44A0">
              <w:rPr>
                <w:rFonts w:ascii="Arial Narrow" w:hAnsi="Arial Narrow"/>
                <w:sz w:val="22"/>
                <w:szCs w:val="24"/>
              </w:rPr>
              <w:t>mânt superior decât cea în care se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organizeaz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sus</w:t>
            </w:r>
            <w:r w:rsidR="000B3730">
              <w:rPr>
                <w:rFonts w:ascii="Arial Narrow" w:hAnsi="Arial Narrow"/>
                <w:sz w:val="22"/>
                <w:szCs w:val="24"/>
              </w:rPr>
              <w:t>ți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nerea tezei de doctorat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num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rul tezelor de doctorat sus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inute în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acela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i domeniu de doctorat din cadrul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colii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doctorale nu trebuie s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fie mai mare de 0</w:t>
            </w:r>
            <w:proofErr w:type="gramStart"/>
            <w:r w:rsidRPr="002C44A0">
              <w:rPr>
                <w:rFonts w:ascii="Arial Narrow" w:hAnsi="Arial Narrow"/>
                <w:sz w:val="22"/>
                <w:szCs w:val="24"/>
              </w:rPr>
              <w:t>,3</w:t>
            </w:r>
            <w:proofErr w:type="gramEnd"/>
            <w:r w:rsidRPr="002C44A0">
              <w:rPr>
                <w:rFonts w:ascii="Arial Narrow" w:hAnsi="Arial Narrow"/>
                <w:sz w:val="22"/>
                <w:szCs w:val="24"/>
              </w:rPr>
              <w:t>,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prin raportare la situa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ia înregistrat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în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ultimii cinci ani. Se analizeaz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doar acele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domenii de doctorat în care au fost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sus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inute minimum zece teze de doctorat în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ultimii cinci ani.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EC54DC" w:rsidRDefault="00081F8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6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DAEDF3"/>
          </w:tcPr>
          <w:p w:rsidR="00241A09" w:rsidRPr="00EC54DC" w:rsidRDefault="00241A09" w:rsidP="00081F88">
            <w:pPr>
              <w:ind w:left="39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C. MANAGEMENTUL CALITĂȚII</w:t>
            </w: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EAEAEA"/>
          </w:tcPr>
          <w:p w:rsidR="00241A09" w:rsidRPr="00EC54DC" w:rsidRDefault="00081F88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C .1. Existen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ț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a 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ș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derularea periodic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ă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a</w:t>
            </w: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sistemului de</w:t>
            </w: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asigurare intern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ă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a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calit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ăț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ii</w:t>
            </w:r>
          </w:p>
        </w:tc>
      </w:tr>
      <w:tr w:rsidR="000951F9" w:rsidRPr="0084085F" w:rsidTr="00914C9B">
        <w:tc>
          <w:tcPr>
            <w:tcW w:w="2591" w:type="dxa"/>
            <w:vMerge w:val="restart"/>
            <w:tcBorders>
              <w:top w:val="single" w:sz="8" w:space="0" w:color="17365D"/>
              <w:left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2C44A0" w:rsidRDefault="00F77517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.1.1. Exist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cadrul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institu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ional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 se aplic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o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procedur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pentru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monitorizarea asigur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rii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interne a calit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ii, precum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 politici de asigurare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intern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a calit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relevante.</w:t>
            </w: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2C44A0" w:rsidRDefault="000B3730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.1.1.1.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coala doctoral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în care se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încadreaz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domeniul de studii universitare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de doctorat face dovada desf</w:t>
            </w:r>
            <w:r>
              <w:rPr>
                <w:rFonts w:ascii="Arial Narrow" w:hAnsi="Arial Narrow"/>
                <w:sz w:val="22"/>
                <w:szCs w:val="24"/>
              </w:rPr>
              <w:t>ăș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ur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rii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constante a procesului de evaluare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asigurare intern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a calit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 acestuia în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conformitate cu o procedur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dezvoltat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aplicat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la nivel de IOSUD, printre criteriile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evaluate reg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sindu-se obligatoriu: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 xml:space="preserve">a) activitatea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tiin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ific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a conduc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torilor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doctorat;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 xml:space="preserve">b) infrastructura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logistica necesare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desf</w:t>
            </w:r>
            <w:r w:rsidR="000B3730">
              <w:rPr>
                <w:rFonts w:ascii="Arial Narrow" w:hAnsi="Arial Narrow"/>
                <w:sz w:val="22"/>
                <w:szCs w:val="24"/>
              </w:rPr>
              <w:t>ăș</w:t>
            </w:r>
            <w:r w:rsidRPr="002C44A0">
              <w:rPr>
                <w:rFonts w:ascii="Arial Narrow" w:hAnsi="Arial Narrow"/>
                <w:sz w:val="22"/>
                <w:szCs w:val="24"/>
              </w:rPr>
              <w:t>ur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rii activit</w:t>
            </w:r>
            <w:r w:rsidR="000B3730">
              <w:rPr>
                <w:rFonts w:ascii="Arial Narrow" w:hAnsi="Arial Narrow"/>
                <w:sz w:val="22"/>
                <w:szCs w:val="24"/>
              </w:rPr>
              <w:t>ăț</w:t>
            </w:r>
            <w:r w:rsidRPr="002C44A0">
              <w:rPr>
                <w:rFonts w:ascii="Arial Narrow" w:hAnsi="Arial Narrow"/>
                <w:sz w:val="22"/>
                <w:szCs w:val="24"/>
              </w:rPr>
              <w:t>ii de cercetare;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 xml:space="preserve">c) procedurile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normele subsecvente pe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baza 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rora se organizeaz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studiile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doctorale;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 xml:space="preserve">d) activitatea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tiin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ific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a studen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ilor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doctoranzi;</w:t>
            </w:r>
          </w:p>
          <w:p w:rsidR="00241A09" w:rsidRPr="002C44A0" w:rsidRDefault="00081F88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 xml:space="preserve">e) </w:t>
            </w:r>
            <w:proofErr w:type="gramStart"/>
            <w:r w:rsidRPr="002C44A0">
              <w:rPr>
                <w:rFonts w:ascii="Arial Narrow" w:hAnsi="Arial Narrow"/>
                <w:sz w:val="22"/>
                <w:szCs w:val="24"/>
              </w:rPr>
              <w:t>programul</w:t>
            </w:r>
            <w:proofErr w:type="gramEnd"/>
            <w:r w:rsidRPr="002C44A0">
              <w:rPr>
                <w:rFonts w:ascii="Arial Narrow" w:hAnsi="Arial Narrow"/>
                <w:sz w:val="22"/>
                <w:szCs w:val="24"/>
              </w:rPr>
              <w:t xml:space="preserve"> de preg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tire bazat pe studii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universitare avansate a studen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ilor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doctoranzi.</w:t>
            </w:r>
          </w:p>
        </w:tc>
        <w:tc>
          <w:tcPr>
            <w:tcW w:w="2977" w:type="dxa"/>
            <w:gridSpan w:val="2"/>
            <w:tcBorders>
              <w:top w:val="single" w:sz="8" w:space="0" w:color="17365D"/>
              <w:left w:val="single" w:sz="6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0773BF" w:rsidRDefault="00241A09" w:rsidP="00081F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51F9" w:rsidRPr="0084085F" w:rsidTr="00914C9B">
        <w:tc>
          <w:tcPr>
            <w:tcW w:w="2591" w:type="dxa"/>
            <w:vMerge/>
            <w:tcBorders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241A09" w:rsidRPr="002C44A0" w:rsidRDefault="00241A09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241A09" w:rsidRPr="002C44A0" w:rsidRDefault="000B3730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C.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1.1.2. Pe parcursul stagiului de preg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tire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doctoral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sunt implementate mecanisme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feedback din partea 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ilor doctoranzi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prin care s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se identifice nevoile acestora,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precum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 nivelul lor general de satisfac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fa</w:t>
            </w:r>
            <w:r>
              <w:rPr>
                <w:rFonts w:ascii="Arial Narrow" w:hAnsi="Arial Narrow"/>
                <w:sz w:val="22"/>
                <w:szCs w:val="24"/>
              </w:rPr>
              <w:t>ță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de programul de studii universitare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doctorat, în vederea îmbun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irii continue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a proceselor academice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 administrative.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0773BF" w:rsidRDefault="00241A09" w:rsidP="00081F88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EAEAEA"/>
          </w:tcPr>
          <w:p w:rsidR="00241A09" w:rsidRPr="00EC54DC" w:rsidRDefault="00F77517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1"/>
                <w:sz w:val="22"/>
                <w:szCs w:val="22"/>
              </w:rPr>
              <w:t>C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.2. Transparen</w:t>
            </w:r>
            <w:r>
              <w:rPr>
                <w:rFonts w:ascii="Arial Narrow" w:hAnsi="Arial Narrow"/>
                <w:b/>
                <w:spacing w:val="-1"/>
                <w:sz w:val="22"/>
                <w:szCs w:val="22"/>
              </w:rPr>
              <w:t>ț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informa</w:t>
            </w:r>
            <w:r>
              <w:rPr>
                <w:rFonts w:ascii="Arial Narrow" w:hAnsi="Arial Narrow"/>
                <w:b/>
                <w:spacing w:val="-1"/>
                <w:sz w:val="22"/>
                <w:szCs w:val="22"/>
              </w:rPr>
              <w:t>ț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iilor </w:t>
            </w:r>
            <w:r>
              <w:rPr>
                <w:rFonts w:ascii="Arial Narrow" w:hAnsi="Arial Narrow"/>
                <w:b/>
                <w:spacing w:val="-1"/>
                <w:sz w:val="22"/>
                <w:szCs w:val="22"/>
              </w:rPr>
              <w:t>ș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accesibilitate la</w:t>
            </w:r>
            <w:r w:rsid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resursele de înv</w:t>
            </w:r>
            <w:r>
              <w:rPr>
                <w:rFonts w:ascii="Arial Narrow" w:hAnsi="Arial Narrow"/>
                <w:b/>
                <w:spacing w:val="-1"/>
                <w:sz w:val="22"/>
                <w:szCs w:val="22"/>
              </w:rPr>
              <w:t>ăț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are</w:t>
            </w:r>
          </w:p>
        </w:tc>
      </w:tr>
      <w:tr w:rsidR="00081F88" w:rsidRPr="0084085F" w:rsidTr="00914C9B">
        <w:trPr>
          <w:trHeight w:val="842"/>
        </w:trPr>
        <w:tc>
          <w:tcPr>
            <w:tcW w:w="2591" w:type="dxa"/>
            <w:tcBorders>
              <w:top w:val="single" w:sz="8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F77517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.2.1. Informa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iile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interes pentru 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doctoranzi, viitorii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candida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i, </w:t>
            </w:r>
            <w:r>
              <w:rPr>
                <w:rFonts w:ascii="Arial Narrow" w:hAnsi="Arial Narrow"/>
                <w:sz w:val="22"/>
                <w:szCs w:val="24"/>
              </w:rPr>
              <w:t>respectiv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informa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iile de interes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public sunt disponibile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spre consultare în format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electronic.</w:t>
            </w:r>
          </w:p>
        </w:tc>
        <w:tc>
          <w:tcPr>
            <w:tcW w:w="9922" w:type="dxa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B3730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.2.1.1.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coala doctoral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, prin intermediul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IOSUD, public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pe website-ul institu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iei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organizatoare, cu respectarea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reglement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rilor generale cu privire la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protec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ia datelor, informa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 precum: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 xml:space="preserve">a) regulamentul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colii doctorale;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b) regulamentul de admitere;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c) contractul de studii doctorale;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d) regulamentul de finalizare a studiilor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care s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includ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procedura de sus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inere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public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a tezei;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e) con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inutul programelor de studii;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 xml:space="preserve">f) profilul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tiin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ific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ariile tematice/temele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de cercetare ale conduc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torilor de doctorat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din domeniu, precum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date institu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ionale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de contact ale acestora;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g) lista doctoranzilor din domeniu cu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informa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iile de baz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(anul înmatricul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rii;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conduc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tor);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h) informa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ii despre standardele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elaborare a tezei de doctorat;</w:t>
            </w:r>
          </w:p>
          <w:p w:rsidR="00081F88" w:rsidRPr="002C44A0" w:rsidRDefault="00081F88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i) linkuri 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tre rezumatele tezelor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doctorat care urmeaz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a fi sus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inute public,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precum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data, ora, locul unde vor fi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sus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inute acestea, cu cel pu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 20 de zile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înaintea sus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inerii.</w:t>
            </w:r>
          </w:p>
        </w:tc>
        <w:tc>
          <w:tcPr>
            <w:tcW w:w="2977" w:type="dxa"/>
            <w:gridSpan w:val="2"/>
            <w:tcBorders>
              <w:top w:val="single" w:sz="8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511B2C" w:rsidRDefault="00081F88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081F88" w:rsidRPr="0084085F" w:rsidTr="00914C9B">
        <w:trPr>
          <w:trHeight w:val="519"/>
        </w:trPr>
        <w:tc>
          <w:tcPr>
            <w:tcW w:w="2591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F77517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.2.2. IOSUD/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coala</w:t>
            </w:r>
            <w:r w:rsidR="00CE2971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doctoral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asigur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CE2971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ilor doctoranzi</w:t>
            </w:r>
            <w:r w:rsidR="00CE2971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lastRenderedPageBreak/>
              <w:t>acces la resursele</w:t>
            </w:r>
            <w:r w:rsidR="00CE2971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necesare derul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rii</w:t>
            </w:r>
            <w:r w:rsidR="00CE2971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studiilor doctorale.</w:t>
            </w: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B3730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lastRenderedPageBreak/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.2.2.1. To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 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 doctoranzi au acces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gratuit la o platform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cu baze de date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academice relevante pentru domeniile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studiilor de doctorat organizate.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511B2C" w:rsidRDefault="00081F88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081F88" w:rsidRPr="0084085F" w:rsidTr="00914C9B">
        <w:trPr>
          <w:trHeight w:val="541"/>
        </w:trPr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B3730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.2.2.2. Fiecare student doctorand are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acces, la cerere, la un sistem electronic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verificare a gradului de similitudine cu alte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crea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ii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tiin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ifice sau artistice existente.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511B2C" w:rsidRDefault="00081F88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081F88" w:rsidRPr="0084085F" w:rsidTr="00914C9B">
        <w:trPr>
          <w:trHeight w:val="563"/>
        </w:trPr>
        <w:tc>
          <w:tcPr>
            <w:tcW w:w="2591" w:type="dxa"/>
            <w:vMerge/>
            <w:tcBorders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B3730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.2.2.3. To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 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 doctoranzi au acces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la laboratoarele de cercetare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tiin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ific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sau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alte facilit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 în func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ie de specificul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domeniului/domeniilor din cadrul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colii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doctorale, conform unor reglement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ri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interne.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511B2C" w:rsidRDefault="00081F88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EAEAEA"/>
          </w:tcPr>
          <w:p w:rsidR="00241A09" w:rsidRPr="00EC54DC" w:rsidRDefault="00081F88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81F88">
              <w:rPr>
                <w:rFonts w:ascii="Arial Narrow" w:hAnsi="Arial Narrow"/>
                <w:b/>
                <w:sz w:val="22"/>
                <w:szCs w:val="22"/>
              </w:rPr>
              <w:t>.3. Gradul de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81F88">
              <w:rPr>
                <w:rFonts w:ascii="Arial Narrow" w:hAnsi="Arial Narrow"/>
                <w:b/>
                <w:sz w:val="22"/>
                <w:szCs w:val="22"/>
              </w:rPr>
              <w:t>interna</w:t>
            </w:r>
            <w:r w:rsidR="00F77517">
              <w:rPr>
                <w:rFonts w:ascii="Arial Narrow" w:hAnsi="Arial Narrow"/>
                <w:b/>
                <w:sz w:val="22"/>
                <w:szCs w:val="22"/>
              </w:rPr>
              <w:t>ț</w:t>
            </w:r>
            <w:r w:rsidRPr="00081F88">
              <w:rPr>
                <w:rFonts w:ascii="Arial Narrow" w:hAnsi="Arial Narrow"/>
                <w:b/>
                <w:sz w:val="22"/>
                <w:szCs w:val="22"/>
              </w:rPr>
              <w:t>ionalizare</w:t>
            </w:r>
          </w:p>
        </w:tc>
      </w:tr>
      <w:tr w:rsidR="002C44A0" w:rsidRPr="0084085F" w:rsidTr="00914C9B">
        <w:tc>
          <w:tcPr>
            <w:tcW w:w="2591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2C44A0" w:rsidRPr="002C44A0" w:rsidRDefault="002C44A0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C .3.1. Exist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o strategie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este aplicat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, pentru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cre</w:t>
            </w:r>
            <w:r w:rsidR="00F77517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terea gradului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interna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ionalizare 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studiilor doctorale.</w:t>
            </w: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C44A0" w:rsidRPr="002C44A0" w:rsidRDefault="000B3730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.3.1.1. Domeniul de studii evaluat, prin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intermediul IOSUD, are încheiate acorduri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de mobilitate cu universit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 din str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in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tate,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cu institute de cercetare, cu companii care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desf</w:t>
            </w:r>
            <w:r>
              <w:rPr>
                <w:rFonts w:ascii="Arial Narrow" w:hAnsi="Arial Narrow"/>
                <w:sz w:val="22"/>
                <w:szCs w:val="24"/>
              </w:rPr>
              <w:t>ăș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oar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 xml:space="preserve"> activit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 în domeniul studiat,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care vizeaz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 xml:space="preserve"> mobilitatea 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ilor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 xml:space="preserve">doctoranzi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 a cadrelor didactice (de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exemplu, acorduri ERASMUS pentru ciclul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de studii doctorale). C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el pu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in 35% dintre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ii doctoranzi au efectuat un stagiu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preg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tire în str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in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tate sau o alt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 xml:space="preserve"> form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 xml:space="preserve">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mobilitate, precum participarea la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conferin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 xml:space="preserve">e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tiin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ifice interna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ionale.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C44A0" w:rsidRPr="00EC54DC" w:rsidRDefault="002C44A0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4A0" w:rsidRPr="0084085F" w:rsidTr="00914C9B"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2C44A0" w:rsidRPr="002C44A0" w:rsidRDefault="002C44A0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C44A0" w:rsidRPr="002C44A0" w:rsidRDefault="000B3730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.3.1.2. În cadrul domeniului de studii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evaluat este sprijinit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, inclusiv financiar,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organizarea unor doctorate în cotutel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interna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ional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, respectiv invitarea unor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exper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 de prim rang care s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 xml:space="preserve"> sus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in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cursuri/prelegeri pentru 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doctoranzi.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C44A0" w:rsidRPr="003B23F0" w:rsidRDefault="002C44A0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2C44A0" w:rsidRPr="0084085F" w:rsidTr="00914C9B">
        <w:tc>
          <w:tcPr>
            <w:tcW w:w="2591" w:type="dxa"/>
            <w:vMerge/>
            <w:tcBorders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C44A0" w:rsidRPr="002C44A0" w:rsidRDefault="002C44A0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C44A0" w:rsidRPr="002C44A0" w:rsidRDefault="000B3730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.3.1.3. Interna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ionalizarea activit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ilor din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cadrul studiilor doctorale este sus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inut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 xml:space="preserve"> prin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m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suri concrete (de exemplu, participarea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la târguri educa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ionale pentru atragerea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 doctoranzi interna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ionali;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includerea exper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ilor interna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ionali în comisi</w:t>
            </w:r>
            <w:r>
              <w:rPr>
                <w:rFonts w:ascii="Arial Narrow" w:hAnsi="Arial Narrow"/>
                <w:sz w:val="22"/>
                <w:szCs w:val="24"/>
              </w:rPr>
              <w:t xml:space="preserve">i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de îndrumare sau de sus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inere a tezelor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2C44A0" w:rsidRPr="002C44A0">
              <w:rPr>
                <w:rFonts w:ascii="Arial Narrow" w:hAnsi="Arial Narrow"/>
                <w:sz w:val="22"/>
                <w:szCs w:val="24"/>
              </w:rPr>
              <w:t>doctorat etc.).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C44A0" w:rsidRPr="003B23F0" w:rsidRDefault="002C44A0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</w:tbl>
    <w:p w:rsidR="00513EE1" w:rsidRPr="0089370B" w:rsidRDefault="00513EE1">
      <w:pPr>
        <w:spacing w:before="8" w:line="240" w:lineRule="exact"/>
        <w:rPr>
          <w:sz w:val="24"/>
          <w:szCs w:val="24"/>
          <w:lang w:val="fr-FR"/>
        </w:rPr>
      </w:pPr>
    </w:p>
    <w:p w:rsidR="00513EE1" w:rsidRPr="0089370B" w:rsidRDefault="00513EE1">
      <w:pPr>
        <w:spacing w:line="200" w:lineRule="exact"/>
        <w:rPr>
          <w:lang w:val="fr-FR"/>
        </w:rPr>
      </w:pPr>
    </w:p>
    <w:p w:rsidR="00513EE1" w:rsidRPr="00FA516A" w:rsidRDefault="00513EE1">
      <w:pPr>
        <w:spacing w:line="200" w:lineRule="exact"/>
        <w:rPr>
          <w:sz w:val="24"/>
          <w:lang w:val="fr-FR"/>
        </w:rPr>
      </w:pPr>
    </w:p>
    <w:p w:rsidR="00513EE1" w:rsidRPr="00FA516A" w:rsidRDefault="00513EE1">
      <w:pPr>
        <w:spacing w:line="200" w:lineRule="exact"/>
        <w:rPr>
          <w:sz w:val="24"/>
          <w:lang w:val="fr-FR"/>
        </w:rPr>
      </w:pPr>
    </w:p>
    <w:p w:rsidR="00FA516A" w:rsidRPr="00FA516A" w:rsidRDefault="00FA516A" w:rsidP="00FA516A">
      <w:pPr>
        <w:rPr>
          <w:rFonts w:ascii="Calibri" w:hAnsi="Calibri"/>
          <w:sz w:val="24"/>
          <w:szCs w:val="22"/>
          <w:lang w:val="ro-RO"/>
        </w:rPr>
      </w:pPr>
      <w:r w:rsidRPr="00FA516A">
        <w:rPr>
          <w:rFonts w:ascii="Calibri" w:hAnsi="Calibri"/>
          <w:sz w:val="24"/>
          <w:szCs w:val="22"/>
          <w:lang w:val="ro-RO"/>
        </w:rPr>
        <w:t>Recomandarea comisiei de verificare:</w:t>
      </w:r>
    </w:p>
    <w:p w:rsidR="00FA516A" w:rsidRPr="00FA516A" w:rsidRDefault="00FA516A" w:rsidP="00FA516A">
      <w:pPr>
        <w:rPr>
          <w:rFonts w:ascii="Calibri" w:hAnsi="Calibri"/>
          <w:sz w:val="24"/>
          <w:szCs w:val="22"/>
          <w:lang w:val="ro-RO"/>
        </w:rPr>
      </w:pP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498"/>
      </w:tblGrid>
      <w:tr w:rsidR="00FA516A" w:rsidRPr="00FA516A" w:rsidTr="00FA516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A" w:rsidRPr="00FA516A" w:rsidRDefault="00FA516A">
            <w:pPr>
              <w:widowControl w:val="0"/>
              <w:adjustRightInd w:val="0"/>
              <w:ind w:left="357" w:hanging="357"/>
              <w:rPr>
                <w:rFonts w:ascii="Calibri" w:hAnsi="Calibri"/>
                <w:sz w:val="24"/>
                <w:szCs w:val="22"/>
                <w:lang w:val="ro-RO"/>
              </w:rPr>
            </w:pPr>
            <w:r w:rsidRPr="00FA516A">
              <w:rPr>
                <w:rFonts w:ascii="Calibri" w:hAnsi="Calibri"/>
                <w:sz w:val="24"/>
                <w:szCs w:val="22"/>
                <w:lang w:val="ro-RO"/>
              </w:rPr>
              <w:t>Bun pentru evaluare externă ARACIS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A" w:rsidRPr="00FA516A" w:rsidRDefault="00FA516A">
            <w:pPr>
              <w:widowControl w:val="0"/>
              <w:adjustRightInd w:val="0"/>
              <w:ind w:left="357" w:hanging="357"/>
              <w:jc w:val="both"/>
              <w:rPr>
                <w:rFonts w:ascii="Calibri" w:hAnsi="Calibri"/>
                <w:sz w:val="24"/>
                <w:szCs w:val="22"/>
                <w:lang w:val="ro-RO"/>
              </w:rPr>
            </w:pPr>
            <w:r w:rsidRPr="00FA516A">
              <w:rPr>
                <w:rFonts w:ascii="Calibri" w:hAnsi="Calibri"/>
                <w:sz w:val="24"/>
                <w:szCs w:val="22"/>
                <w:lang w:val="ro-RO"/>
              </w:rPr>
              <w:t>Da</w:t>
            </w:r>
          </w:p>
        </w:tc>
      </w:tr>
      <w:tr w:rsidR="00FA516A" w:rsidRPr="00FA516A" w:rsidTr="00FA51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A" w:rsidRPr="00FA516A" w:rsidRDefault="00FA516A">
            <w:pPr>
              <w:rPr>
                <w:rFonts w:ascii="Calibri" w:hAnsi="Calibri"/>
                <w:sz w:val="24"/>
                <w:szCs w:val="22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A" w:rsidRPr="000951F9" w:rsidRDefault="00FA516A">
            <w:pPr>
              <w:widowControl w:val="0"/>
              <w:adjustRightInd w:val="0"/>
              <w:ind w:left="357" w:hanging="357"/>
              <w:jc w:val="both"/>
              <w:rPr>
                <w:rFonts w:ascii="Calibri" w:hAnsi="Calibri"/>
                <w:sz w:val="24"/>
                <w:szCs w:val="22"/>
                <w:lang w:val="ro-RO"/>
              </w:rPr>
            </w:pPr>
            <w:r w:rsidRPr="000951F9">
              <w:rPr>
                <w:rFonts w:ascii="Calibri" w:hAnsi="Calibri"/>
                <w:sz w:val="24"/>
                <w:szCs w:val="22"/>
                <w:lang w:val="ro-RO"/>
              </w:rPr>
              <w:t>Nu</w:t>
            </w:r>
          </w:p>
        </w:tc>
      </w:tr>
    </w:tbl>
    <w:p w:rsidR="00513EE1" w:rsidRDefault="00513EE1" w:rsidP="00F37F12">
      <w:pPr>
        <w:spacing w:before="1" w:line="220" w:lineRule="exact"/>
        <w:jc w:val="both"/>
        <w:rPr>
          <w:sz w:val="22"/>
          <w:szCs w:val="22"/>
        </w:rPr>
      </w:pPr>
    </w:p>
    <w:p w:rsidR="004873C4" w:rsidRPr="008F2E73" w:rsidRDefault="004873C4" w:rsidP="004873C4">
      <w:pPr>
        <w:ind w:left="5760" w:firstLine="4446"/>
        <w:jc w:val="both"/>
        <w:rPr>
          <w:rFonts w:asciiTheme="minorHAnsi" w:hAnsiTheme="minorHAnsi"/>
          <w:sz w:val="24"/>
          <w:szCs w:val="24"/>
          <w:lang w:val="ro-RO"/>
        </w:rPr>
      </w:pPr>
      <w:r w:rsidRPr="008F2E73">
        <w:rPr>
          <w:rFonts w:asciiTheme="minorHAnsi" w:hAnsiTheme="minorHAnsi"/>
          <w:szCs w:val="22"/>
        </w:rPr>
        <w:tab/>
      </w:r>
      <w:r w:rsidRPr="008F2E73">
        <w:rPr>
          <w:rFonts w:asciiTheme="minorHAnsi" w:hAnsiTheme="minorHAnsi"/>
          <w:sz w:val="24"/>
          <w:szCs w:val="24"/>
          <w:lang w:val="ro-RO"/>
        </w:rPr>
        <w:t xml:space="preserve">1. </w:t>
      </w:r>
    </w:p>
    <w:p w:rsidR="004873C4" w:rsidRPr="008F2E73" w:rsidRDefault="004873C4" w:rsidP="004873C4">
      <w:pPr>
        <w:ind w:left="6495" w:firstLine="4305"/>
        <w:jc w:val="both"/>
        <w:rPr>
          <w:rFonts w:asciiTheme="minorHAnsi" w:hAnsiTheme="minorHAnsi"/>
          <w:sz w:val="24"/>
          <w:szCs w:val="24"/>
          <w:lang w:val="ro-RO"/>
        </w:rPr>
      </w:pPr>
      <w:r w:rsidRPr="008F2E73">
        <w:rPr>
          <w:rFonts w:asciiTheme="minorHAnsi" w:hAnsiTheme="minorHAnsi"/>
          <w:sz w:val="24"/>
          <w:szCs w:val="24"/>
          <w:lang w:val="ro-RO"/>
        </w:rPr>
        <w:t xml:space="preserve">2. </w:t>
      </w:r>
    </w:p>
    <w:p w:rsidR="00F37F12" w:rsidRDefault="00F37F12" w:rsidP="00F37F12">
      <w:pPr>
        <w:spacing w:before="1" w:line="220" w:lineRule="exact"/>
        <w:jc w:val="both"/>
        <w:rPr>
          <w:sz w:val="22"/>
          <w:szCs w:val="22"/>
        </w:rPr>
      </w:pPr>
    </w:p>
    <w:sectPr w:rsidR="00F37F12" w:rsidSect="00E124D9">
      <w:pgSz w:w="16860" w:h="11920" w:orient="landscape"/>
      <w:pgMar w:top="482" w:right="482" w:bottom="482" w:left="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4D3"/>
    <w:multiLevelType w:val="hybridMultilevel"/>
    <w:tmpl w:val="FDDEF610"/>
    <w:lvl w:ilvl="0" w:tplc="0CD83470">
      <w:start w:val="1"/>
      <w:numFmt w:val="decimal"/>
      <w:lvlText w:val="%1."/>
      <w:lvlJc w:val="left"/>
      <w:pPr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">
    <w:nsid w:val="3C863377"/>
    <w:multiLevelType w:val="hybridMultilevel"/>
    <w:tmpl w:val="5912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57BFC"/>
    <w:multiLevelType w:val="multilevel"/>
    <w:tmpl w:val="2A0A3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8442946"/>
    <w:multiLevelType w:val="hybridMultilevel"/>
    <w:tmpl w:val="A8DC6AA6"/>
    <w:lvl w:ilvl="0" w:tplc="A8CAC74E">
      <w:start w:val="1"/>
      <w:numFmt w:val="decimal"/>
      <w:lvlText w:val="%1."/>
      <w:lvlJc w:val="left"/>
      <w:pPr>
        <w:ind w:left="4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1"/>
    <w:rsid w:val="000222A5"/>
    <w:rsid w:val="00024146"/>
    <w:rsid w:val="00047DCA"/>
    <w:rsid w:val="00081F88"/>
    <w:rsid w:val="000951F9"/>
    <w:rsid w:val="000A7EE2"/>
    <w:rsid w:val="000B3730"/>
    <w:rsid w:val="000F4978"/>
    <w:rsid w:val="00103B09"/>
    <w:rsid w:val="00127B3F"/>
    <w:rsid w:val="0013144F"/>
    <w:rsid w:val="00136401"/>
    <w:rsid w:val="00172735"/>
    <w:rsid w:val="00195F11"/>
    <w:rsid w:val="001F4831"/>
    <w:rsid w:val="0024122E"/>
    <w:rsid w:val="00241A09"/>
    <w:rsid w:val="002A6C7F"/>
    <w:rsid w:val="002C2680"/>
    <w:rsid w:val="002C294D"/>
    <w:rsid w:val="002C44A0"/>
    <w:rsid w:val="002C621E"/>
    <w:rsid w:val="003324E2"/>
    <w:rsid w:val="0033289C"/>
    <w:rsid w:val="0033529C"/>
    <w:rsid w:val="00367706"/>
    <w:rsid w:val="003B1831"/>
    <w:rsid w:val="003D1965"/>
    <w:rsid w:val="0040621B"/>
    <w:rsid w:val="00406601"/>
    <w:rsid w:val="0041448A"/>
    <w:rsid w:val="00454591"/>
    <w:rsid w:val="004873C4"/>
    <w:rsid w:val="004C71CA"/>
    <w:rsid w:val="004F4F94"/>
    <w:rsid w:val="004F5CFC"/>
    <w:rsid w:val="004F7473"/>
    <w:rsid w:val="00501D91"/>
    <w:rsid w:val="00513EE1"/>
    <w:rsid w:val="005344B8"/>
    <w:rsid w:val="00552EF1"/>
    <w:rsid w:val="00581017"/>
    <w:rsid w:val="005B4DAB"/>
    <w:rsid w:val="005C4B3E"/>
    <w:rsid w:val="005F1BE8"/>
    <w:rsid w:val="005F4F86"/>
    <w:rsid w:val="00647867"/>
    <w:rsid w:val="00656DE2"/>
    <w:rsid w:val="0066476C"/>
    <w:rsid w:val="006978A8"/>
    <w:rsid w:val="006D3BB6"/>
    <w:rsid w:val="006E6B59"/>
    <w:rsid w:val="006E6B78"/>
    <w:rsid w:val="006F3F04"/>
    <w:rsid w:val="006F5D60"/>
    <w:rsid w:val="00751B84"/>
    <w:rsid w:val="00791999"/>
    <w:rsid w:val="007A64D3"/>
    <w:rsid w:val="007E3E46"/>
    <w:rsid w:val="008209A7"/>
    <w:rsid w:val="00824889"/>
    <w:rsid w:val="0089370B"/>
    <w:rsid w:val="00893F9E"/>
    <w:rsid w:val="008A6EE2"/>
    <w:rsid w:val="008E57D3"/>
    <w:rsid w:val="00914C9B"/>
    <w:rsid w:val="00941B88"/>
    <w:rsid w:val="0095024A"/>
    <w:rsid w:val="009651D2"/>
    <w:rsid w:val="009931EB"/>
    <w:rsid w:val="009A4FF6"/>
    <w:rsid w:val="009C20D4"/>
    <w:rsid w:val="009E421F"/>
    <w:rsid w:val="00A0332B"/>
    <w:rsid w:val="00A06DC7"/>
    <w:rsid w:val="00A311E2"/>
    <w:rsid w:val="00A4187E"/>
    <w:rsid w:val="00A51ED4"/>
    <w:rsid w:val="00A55818"/>
    <w:rsid w:val="00A76325"/>
    <w:rsid w:val="00A8267A"/>
    <w:rsid w:val="00AB5B85"/>
    <w:rsid w:val="00AC1A5D"/>
    <w:rsid w:val="00AD10D7"/>
    <w:rsid w:val="00AE3198"/>
    <w:rsid w:val="00AF1EE8"/>
    <w:rsid w:val="00B26AC6"/>
    <w:rsid w:val="00B63185"/>
    <w:rsid w:val="00B73C78"/>
    <w:rsid w:val="00B82133"/>
    <w:rsid w:val="00BD55CF"/>
    <w:rsid w:val="00BE3C9A"/>
    <w:rsid w:val="00BE468B"/>
    <w:rsid w:val="00C055DD"/>
    <w:rsid w:val="00C13AAA"/>
    <w:rsid w:val="00C922F0"/>
    <w:rsid w:val="00CA42C5"/>
    <w:rsid w:val="00CB025F"/>
    <w:rsid w:val="00CB1445"/>
    <w:rsid w:val="00CE2971"/>
    <w:rsid w:val="00D329FC"/>
    <w:rsid w:val="00D53857"/>
    <w:rsid w:val="00D70DFA"/>
    <w:rsid w:val="00D7557C"/>
    <w:rsid w:val="00D9398B"/>
    <w:rsid w:val="00E050D2"/>
    <w:rsid w:val="00E124D9"/>
    <w:rsid w:val="00E26F17"/>
    <w:rsid w:val="00E428CC"/>
    <w:rsid w:val="00E43369"/>
    <w:rsid w:val="00E4337B"/>
    <w:rsid w:val="00E61BB7"/>
    <w:rsid w:val="00EA00AB"/>
    <w:rsid w:val="00EA39F8"/>
    <w:rsid w:val="00EB32B9"/>
    <w:rsid w:val="00EF26A0"/>
    <w:rsid w:val="00F2456C"/>
    <w:rsid w:val="00F24637"/>
    <w:rsid w:val="00F301DF"/>
    <w:rsid w:val="00F3112E"/>
    <w:rsid w:val="00F37F12"/>
    <w:rsid w:val="00F417F0"/>
    <w:rsid w:val="00F578E3"/>
    <w:rsid w:val="00F611DA"/>
    <w:rsid w:val="00F77517"/>
    <w:rsid w:val="00F91506"/>
    <w:rsid w:val="00F957B6"/>
    <w:rsid w:val="00FA516A"/>
    <w:rsid w:val="00FC6157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rsid w:val="00AD1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A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rsid w:val="00AD1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A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EBDFA-4349-4D86-AEBA-0D76213C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Silvia</cp:lastModifiedBy>
  <cp:revision>11</cp:revision>
  <cp:lastPrinted>2015-02-13T10:46:00Z</cp:lastPrinted>
  <dcterms:created xsi:type="dcterms:W3CDTF">2020-05-09T20:10:00Z</dcterms:created>
  <dcterms:modified xsi:type="dcterms:W3CDTF">2020-05-10T09:23:00Z</dcterms:modified>
</cp:coreProperties>
</file>