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D2CE" w14:textId="77777777" w:rsidR="00DF6625" w:rsidRPr="00A72A17" w:rsidRDefault="001E1E07" w:rsidP="00B82819">
      <w:pPr>
        <w:jc w:val="center"/>
        <w:rPr>
          <w:rFonts w:cs="Calibri"/>
          <w:b/>
          <w:sz w:val="24"/>
          <w:szCs w:val="24"/>
        </w:rPr>
      </w:pPr>
      <w:r w:rsidRPr="00A72A17">
        <w:rPr>
          <w:rFonts w:cs="Calibri"/>
          <w:b/>
          <w:sz w:val="24"/>
          <w:szCs w:val="24"/>
        </w:rPr>
        <w:t xml:space="preserve">STRUCTURA RAPORTULUI DE EVALUARE INTERNĂ </w:t>
      </w:r>
    </w:p>
    <w:p w14:paraId="6F5A595E" w14:textId="4FD10134" w:rsidR="001E1E07" w:rsidRPr="00A72A17" w:rsidRDefault="001E1E07" w:rsidP="001913AD">
      <w:pPr>
        <w:jc w:val="center"/>
        <w:rPr>
          <w:b/>
          <w:sz w:val="24"/>
          <w:szCs w:val="24"/>
        </w:rPr>
      </w:pPr>
      <w:r w:rsidRPr="00A72A17">
        <w:rPr>
          <w:rFonts w:eastAsia="Times New Roman" w:cs="Calibri"/>
          <w:b/>
          <w:sz w:val="24"/>
          <w:szCs w:val="24"/>
          <w:lang w:eastAsia="en-GB"/>
        </w:rPr>
        <w:t xml:space="preserve">A </w:t>
      </w:r>
      <w:r w:rsidR="00DF6625" w:rsidRPr="00A72A17">
        <w:rPr>
          <w:rFonts w:eastAsia="Times New Roman" w:cs="Calibri"/>
          <w:b/>
          <w:sz w:val="24"/>
          <w:szCs w:val="24"/>
          <w:lang w:eastAsia="en-GB"/>
        </w:rPr>
        <w:t xml:space="preserve">UNUI </w:t>
      </w:r>
      <w:r w:rsidR="00DF6625" w:rsidRPr="00A72A17">
        <w:rPr>
          <w:rFonts w:cs="Calibri"/>
          <w:b/>
          <w:sz w:val="24"/>
          <w:szCs w:val="24"/>
        </w:rPr>
        <w:t>DOMENIU DE STUDII UNIVERSITARE DE DOCTORAT</w:t>
      </w:r>
    </w:p>
    <w:p w14:paraId="78234F79" w14:textId="5E601BD8" w:rsidR="00B82819" w:rsidRPr="00A72A17" w:rsidRDefault="00B82819" w:rsidP="00B82819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A72A17">
        <w:rPr>
          <w:rFonts w:cs="Calibri"/>
          <w:sz w:val="24"/>
          <w:szCs w:val="24"/>
        </w:rPr>
        <w:t>Raportul de evaluare internă a un</w:t>
      </w:r>
      <w:r w:rsidR="00DF6625" w:rsidRPr="00A72A17">
        <w:rPr>
          <w:rFonts w:cs="Calibri"/>
          <w:sz w:val="24"/>
          <w:szCs w:val="24"/>
        </w:rPr>
        <w:t>ui domeniu de studii universitare de doctorat</w:t>
      </w:r>
      <w:r w:rsidRPr="00A72A17">
        <w:rPr>
          <w:rFonts w:cs="Calibri"/>
          <w:sz w:val="24"/>
          <w:szCs w:val="24"/>
        </w:rPr>
        <w:t xml:space="preserve"> trebuie să conțină în structura sa următoarele informații:</w:t>
      </w:r>
    </w:p>
    <w:p w14:paraId="7DACDD8C" w14:textId="77777777" w:rsidR="001E1E07" w:rsidRPr="00A72A17" w:rsidRDefault="001E1E07" w:rsidP="00B82819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14:paraId="6BBC4928" w14:textId="77777777" w:rsidR="00B82819" w:rsidRPr="00A72A17" w:rsidRDefault="001E1E07" w:rsidP="00762CE9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cs="Calibri"/>
          <w:b/>
          <w:sz w:val="24"/>
          <w:szCs w:val="24"/>
        </w:rPr>
      </w:pPr>
      <w:proofErr w:type="spellStart"/>
      <w:r w:rsidRPr="00A72A17">
        <w:rPr>
          <w:rFonts w:cs="Calibri"/>
          <w:b/>
          <w:sz w:val="24"/>
          <w:szCs w:val="24"/>
        </w:rPr>
        <w:t>I</w:t>
      </w:r>
      <w:r w:rsidR="00B82819" w:rsidRPr="00A72A17">
        <w:rPr>
          <w:rFonts w:cs="Calibri"/>
          <w:b/>
          <w:sz w:val="24"/>
          <w:szCs w:val="24"/>
        </w:rPr>
        <w:t>nformații</w:t>
      </w:r>
      <w:proofErr w:type="spellEnd"/>
      <w:r w:rsidR="00B82819" w:rsidRPr="00A72A17">
        <w:rPr>
          <w:rFonts w:cs="Calibri"/>
          <w:b/>
          <w:sz w:val="24"/>
          <w:szCs w:val="24"/>
        </w:rPr>
        <w:t xml:space="preserve"> </w:t>
      </w:r>
      <w:proofErr w:type="spellStart"/>
      <w:r w:rsidR="00B82819" w:rsidRPr="00A72A17">
        <w:rPr>
          <w:rFonts w:cs="Calibri"/>
          <w:b/>
          <w:sz w:val="24"/>
          <w:szCs w:val="24"/>
        </w:rPr>
        <w:t>generale</w:t>
      </w:r>
      <w:proofErr w:type="spellEnd"/>
    </w:p>
    <w:p w14:paraId="314F62C4" w14:textId="77777777" w:rsidR="00762CE9" w:rsidRPr="00A72A17" w:rsidRDefault="00762CE9" w:rsidP="00762CE9">
      <w:pPr>
        <w:pStyle w:val="ListParagraph"/>
        <w:tabs>
          <w:tab w:val="left" w:pos="284"/>
        </w:tabs>
        <w:spacing w:after="0"/>
        <w:jc w:val="both"/>
        <w:rPr>
          <w:rFonts w:cs="Calibri"/>
          <w:sz w:val="24"/>
          <w:szCs w:val="24"/>
        </w:rPr>
      </w:pPr>
    </w:p>
    <w:p w14:paraId="5BA267AF" w14:textId="77777777" w:rsidR="001913AD" w:rsidRPr="00A72A17" w:rsidRDefault="00B82819" w:rsidP="001913AD">
      <w:pPr>
        <w:pStyle w:val="ListParagraph"/>
        <w:numPr>
          <w:ilvl w:val="1"/>
          <w:numId w:val="3"/>
        </w:num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val="ro-RO"/>
        </w:rPr>
      </w:pPr>
      <w:r w:rsidRPr="00A72A17">
        <w:rPr>
          <w:rFonts w:cs="Calibri"/>
          <w:b/>
          <w:sz w:val="24"/>
          <w:szCs w:val="24"/>
          <w:lang w:val="ro-RO"/>
        </w:rPr>
        <w:t>capacitatea instituțională a IOSUD</w:t>
      </w:r>
      <w:r w:rsidRPr="00A72A17">
        <w:rPr>
          <w:rFonts w:cs="Calibri"/>
          <w:sz w:val="24"/>
          <w:szCs w:val="24"/>
          <w:lang w:val="ro-RO"/>
        </w:rPr>
        <w:t xml:space="preserve"> (înființare, structură, evoluție, misiune, viziune, nivelul de certificare a calității etc.), </w:t>
      </w:r>
      <w:r w:rsidRPr="00A72A17">
        <w:rPr>
          <w:rFonts w:eastAsia="Times New Roman" w:cs="Calibri"/>
          <w:sz w:val="24"/>
          <w:szCs w:val="24"/>
          <w:lang w:val="ro-RO" w:eastAsia="en-GB"/>
        </w:rPr>
        <w:t>cu reliefarea îndeosebi a resurselor comune existente (manageriale, administrative, logistice și financiare)</w:t>
      </w:r>
      <w:r w:rsidRPr="00A72A17">
        <w:rPr>
          <w:rFonts w:cs="Calibri"/>
          <w:sz w:val="24"/>
          <w:szCs w:val="24"/>
          <w:lang w:val="ro-RO"/>
        </w:rPr>
        <w:t>;</w:t>
      </w:r>
    </w:p>
    <w:p w14:paraId="76B3AA12" w14:textId="28191AA4" w:rsidR="001913AD" w:rsidRPr="00A72A17" w:rsidRDefault="00B82819" w:rsidP="001913AD">
      <w:pPr>
        <w:pStyle w:val="ListParagraph"/>
        <w:numPr>
          <w:ilvl w:val="1"/>
          <w:numId w:val="3"/>
        </w:num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val="ro-RO"/>
        </w:rPr>
      </w:pPr>
      <w:r w:rsidRPr="00A72A17">
        <w:rPr>
          <w:rFonts w:cs="Calibri"/>
          <w:b/>
          <w:sz w:val="24"/>
          <w:szCs w:val="24"/>
          <w:lang w:val="ro-RO"/>
        </w:rPr>
        <w:t xml:space="preserve">școala doctorală </w:t>
      </w:r>
      <w:r w:rsidR="00DF6625" w:rsidRPr="00A72A17">
        <w:rPr>
          <w:rFonts w:cs="Calibri"/>
          <w:b/>
          <w:sz w:val="24"/>
          <w:szCs w:val="24"/>
          <w:lang w:val="ro-RO"/>
        </w:rPr>
        <w:t>care gestionează domeniul de studii universitare de doctorat</w:t>
      </w:r>
      <w:r w:rsidRPr="00A72A17">
        <w:rPr>
          <w:rFonts w:cs="Calibri"/>
          <w:sz w:val="24"/>
          <w:szCs w:val="24"/>
          <w:lang w:val="ro-RO"/>
        </w:rPr>
        <w:t xml:space="preserve"> (înființare, structură, evoluție, misiune de cercetare, nivelul de certificare a calității, </w:t>
      </w: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o prezentare a măsurilor specifice de managementul calității și de promovare a eticii și deontologiei implementate la nivelul școlii doctorale, o prezentare a resursei umane și a infrastructurii de cercetare existente la nivelul școlii doctorale, o prezentare a elementelor de eficacitate educațională la nivelul școlii doctorale </w:t>
      </w:r>
      <w:r w:rsidRPr="00A72A17">
        <w:rPr>
          <w:rFonts w:cs="Calibri"/>
          <w:sz w:val="24"/>
          <w:szCs w:val="24"/>
          <w:lang w:val="ro-RO"/>
        </w:rPr>
        <w:t>etc.);</w:t>
      </w:r>
    </w:p>
    <w:p w14:paraId="39C82F72" w14:textId="7A4B4BAF" w:rsidR="001913AD" w:rsidRPr="00A72A17" w:rsidRDefault="00B82819" w:rsidP="001913AD">
      <w:pPr>
        <w:pStyle w:val="ListParagraph"/>
        <w:numPr>
          <w:ilvl w:val="1"/>
          <w:numId w:val="3"/>
        </w:num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val="ro-RO"/>
        </w:rPr>
      </w:pPr>
      <w:r w:rsidRPr="00A72A17">
        <w:rPr>
          <w:rFonts w:cs="Calibri"/>
          <w:b/>
          <w:sz w:val="24"/>
          <w:szCs w:val="24"/>
          <w:lang w:val="ro-RO"/>
        </w:rPr>
        <w:t>domeni</w:t>
      </w:r>
      <w:r w:rsidR="00DF6625" w:rsidRPr="00A72A17">
        <w:rPr>
          <w:rFonts w:cs="Calibri"/>
          <w:b/>
          <w:sz w:val="24"/>
          <w:szCs w:val="24"/>
          <w:lang w:val="ro-RO"/>
        </w:rPr>
        <w:t xml:space="preserve">ul </w:t>
      </w:r>
      <w:r w:rsidRPr="00A72A17">
        <w:rPr>
          <w:rFonts w:cs="Calibri"/>
          <w:b/>
          <w:sz w:val="24"/>
          <w:szCs w:val="24"/>
          <w:lang w:val="ro-RO"/>
        </w:rPr>
        <w:t xml:space="preserve">de studii universitare de doctorat </w:t>
      </w:r>
      <w:r w:rsidRPr="00A72A17">
        <w:rPr>
          <w:rFonts w:cs="Calibri"/>
          <w:sz w:val="24"/>
          <w:szCs w:val="24"/>
          <w:lang w:val="ro-RO"/>
        </w:rPr>
        <w:t>(obiective, misiune, planuri de învățământ, număr de conducători de doctorat, evoluția număr</w:t>
      </w:r>
      <w:r w:rsidR="00A72A17" w:rsidRPr="00A72A17">
        <w:rPr>
          <w:rFonts w:cs="Calibri"/>
          <w:sz w:val="24"/>
          <w:szCs w:val="24"/>
          <w:lang w:val="ro-RO"/>
        </w:rPr>
        <w:t>ului</w:t>
      </w:r>
      <w:r w:rsidRPr="00A72A17">
        <w:rPr>
          <w:rFonts w:cs="Calibri"/>
          <w:sz w:val="24"/>
          <w:szCs w:val="24"/>
          <w:lang w:val="ro-RO"/>
        </w:rPr>
        <w:t xml:space="preserve"> de studenți doctoranzi și a număr</w:t>
      </w:r>
      <w:r w:rsidR="00A72A17" w:rsidRPr="00A72A17">
        <w:rPr>
          <w:rFonts w:cs="Calibri"/>
          <w:sz w:val="24"/>
          <w:szCs w:val="24"/>
          <w:lang w:val="ro-RO"/>
        </w:rPr>
        <w:t>ului</w:t>
      </w:r>
      <w:r w:rsidRPr="00A72A17">
        <w:rPr>
          <w:rFonts w:cs="Calibri"/>
          <w:sz w:val="24"/>
          <w:szCs w:val="24"/>
          <w:lang w:val="ro-RO"/>
        </w:rPr>
        <w:t xml:space="preserve"> de doctori în ultimii 5 ani, centre/laboratoare de cercetare, principalele realizări științifice etc.);</w:t>
      </w:r>
    </w:p>
    <w:p w14:paraId="7499A506" w14:textId="2CFB2506" w:rsidR="00B82819" w:rsidRPr="00A72A17" w:rsidRDefault="00B82819" w:rsidP="001913AD">
      <w:pPr>
        <w:pStyle w:val="ListParagraph"/>
        <w:numPr>
          <w:ilvl w:val="1"/>
          <w:numId w:val="3"/>
        </w:num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val="ro-RO"/>
        </w:rPr>
      </w:pPr>
      <w:r w:rsidRPr="00A72A17">
        <w:rPr>
          <w:rFonts w:eastAsia="Times New Roman" w:cs="Calibri"/>
          <w:b/>
          <w:sz w:val="24"/>
          <w:szCs w:val="24"/>
          <w:lang w:val="ro-RO" w:eastAsia="en-GB"/>
        </w:rPr>
        <w:t>funcționarea sistemului de asigurare internă a calității</w:t>
      </w: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 la nivelul </w:t>
      </w:r>
      <w:r w:rsidR="00DF6625" w:rsidRPr="00A72A17">
        <w:rPr>
          <w:rFonts w:cs="Calibri"/>
          <w:sz w:val="24"/>
          <w:szCs w:val="24"/>
          <w:lang w:val="ro-RO"/>
        </w:rPr>
        <w:t>domeniului de studii universitare de doctorat</w:t>
      </w:r>
      <w:r w:rsidRPr="00A72A17">
        <w:rPr>
          <w:rFonts w:eastAsia="Times New Roman" w:cs="Calibri"/>
          <w:sz w:val="24"/>
          <w:szCs w:val="24"/>
          <w:lang w:val="ro-RO" w:eastAsia="en-GB"/>
        </w:rPr>
        <w:t>:</w:t>
      </w:r>
    </w:p>
    <w:p w14:paraId="455CD296" w14:textId="77777777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>obiectivele și structura generală a sistemului de asigurare internă a calității;</w:t>
      </w:r>
    </w:p>
    <w:p w14:paraId="1507A4A1" w14:textId="65731B90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politicile de asigurare a calității și definirea procedurilor, a </w:t>
      </w:r>
      <w:r w:rsidR="00A72A17" w:rsidRPr="00A72A17">
        <w:rPr>
          <w:rFonts w:eastAsia="Times New Roman" w:cs="Calibri"/>
          <w:sz w:val="24"/>
          <w:szCs w:val="24"/>
          <w:lang w:val="ro-RO" w:eastAsia="en-GB"/>
        </w:rPr>
        <w:t>beneficiarilor</w:t>
      </w: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 și a responsabilităților acestora;</w:t>
      </w:r>
    </w:p>
    <w:p w14:paraId="614369B0" w14:textId="77777777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>participarea personalului, a studenților-doctoranzi și a părților externe interesate în procesul de asigurare a calității;</w:t>
      </w:r>
    </w:p>
    <w:p w14:paraId="723A5D6D" w14:textId="77777777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>interacțiunea dintre sistemul de asigurare a calității și managementul universitar;</w:t>
      </w:r>
    </w:p>
    <w:p w14:paraId="441F0C4B" w14:textId="1FE1D8F5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transparența și accesul la informațiile specifice sistemului de asigurare internă a calității pentru </w:t>
      </w:r>
      <w:r w:rsidR="00A72A17" w:rsidRPr="00A72A17">
        <w:rPr>
          <w:rFonts w:eastAsia="Times New Roman" w:cs="Calibri"/>
          <w:sz w:val="24"/>
          <w:szCs w:val="24"/>
          <w:lang w:val="ro-RO" w:eastAsia="en-GB"/>
        </w:rPr>
        <w:t>beneficiarii</w:t>
      </w: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 interni și externi;</w:t>
      </w:r>
    </w:p>
    <w:p w14:paraId="76277016" w14:textId="77777777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>eficiența procedurilor și structurilor de asigurare internă a calității și impactul acestora asupra activităților în cadrul studiilor doctorale;</w:t>
      </w:r>
    </w:p>
    <w:p w14:paraId="6203E9D6" w14:textId="75BCD82B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 xml:space="preserve">utilizarea informațiilor produse de sistemul de asigurare internă a calității ca instrument pentru managementul calității și îmbunătățirea educației și </w:t>
      </w:r>
      <w:r w:rsidR="00CD1E86">
        <w:rPr>
          <w:rFonts w:eastAsia="Times New Roman" w:cs="Calibri"/>
          <w:sz w:val="24"/>
          <w:szCs w:val="24"/>
          <w:lang w:val="ro-RO" w:eastAsia="en-GB"/>
        </w:rPr>
        <w:t xml:space="preserve">a </w:t>
      </w:r>
      <w:r w:rsidRPr="00A72A17">
        <w:rPr>
          <w:rFonts w:eastAsia="Times New Roman" w:cs="Calibri"/>
          <w:sz w:val="24"/>
          <w:szCs w:val="24"/>
          <w:lang w:val="ro-RO" w:eastAsia="en-GB"/>
        </w:rPr>
        <w:t>altor activități;</w:t>
      </w:r>
    </w:p>
    <w:p w14:paraId="4B2E9BAC" w14:textId="77777777" w:rsidR="00B82819" w:rsidRPr="00A72A17" w:rsidRDefault="00B82819" w:rsidP="001913AD">
      <w:pPr>
        <w:pStyle w:val="ListParagraph"/>
        <w:numPr>
          <w:ilvl w:val="2"/>
          <w:numId w:val="1"/>
        </w:numPr>
        <w:shd w:val="clear" w:color="auto" w:fill="FFFFFF"/>
        <w:tabs>
          <w:tab w:val="left" w:pos="284"/>
        </w:tabs>
        <w:spacing w:after="0" w:line="276" w:lineRule="auto"/>
        <w:jc w:val="both"/>
        <w:rPr>
          <w:rFonts w:eastAsia="Times New Roman" w:cs="Calibri"/>
          <w:sz w:val="24"/>
          <w:szCs w:val="24"/>
          <w:lang w:val="ro-RO" w:eastAsia="en-GB"/>
        </w:rPr>
      </w:pPr>
      <w:r w:rsidRPr="00A72A17">
        <w:rPr>
          <w:rFonts w:eastAsia="Times New Roman" w:cs="Calibri"/>
          <w:sz w:val="24"/>
          <w:szCs w:val="24"/>
          <w:lang w:val="ro-RO" w:eastAsia="en-GB"/>
        </w:rPr>
        <w:t>monitorizarea, evaluarea și dezvoltarea continuă a sistemului de asigurare internă a calității.</w:t>
      </w:r>
    </w:p>
    <w:p w14:paraId="5616E2A9" w14:textId="77777777" w:rsidR="001E1E07" w:rsidRPr="00A72A17" w:rsidRDefault="001E1E07" w:rsidP="001E1E07">
      <w:pPr>
        <w:pStyle w:val="ListParagraph"/>
        <w:shd w:val="clear" w:color="auto" w:fill="FFFFFF"/>
        <w:tabs>
          <w:tab w:val="left" w:pos="284"/>
        </w:tabs>
        <w:spacing w:after="0" w:line="276" w:lineRule="auto"/>
        <w:ind w:left="0"/>
        <w:jc w:val="both"/>
        <w:rPr>
          <w:rFonts w:eastAsia="Times New Roman" w:cs="Calibri"/>
          <w:sz w:val="24"/>
          <w:szCs w:val="24"/>
          <w:lang w:val="ro-RO" w:eastAsia="en-GB"/>
        </w:rPr>
      </w:pPr>
    </w:p>
    <w:p w14:paraId="47024AAE" w14:textId="77777777" w:rsidR="00762CE9" w:rsidRPr="00A72A17" w:rsidRDefault="00762CE9" w:rsidP="00B82819">
      <w:pPr>
        <w:pStyle w:val="BodyA"/>
        <w:shd w:val="clear" w:color="auto" w:fill="FFFFFF"/>
        <w:tabs>
          <w:tab w:val="left" w:pos="284"/>
        </w:tabs>
        <w:spacing w:after="0"/>
        <w:jc w:val="both"/>
        <w:rPr>
          <w:b/>
          <w:color w:val="auto"/>
          <w:sz w:val="24"/>
          <w:szCs w:val="24"/>
          <w:lang w:val="ro-RO"/>
        </w:rPr>
      </w:pPr>
    </w:p>
    <w:p w14:paraId="3DF7D485" w14:textId="77777777" w:rsidR="00762CE9" w:rsidRPr="00A72A17" w:rsidRDefault="00762CE9" w:rsidP="00B82819">
      <w:pPr>
        <w:pStyle w:val="BodyA"/>
        <w:shd w:val="clear" w:color="auto" w:fill="FFFFFF"/>
        <w:tabs>
          <w:tab w:val="left" w:pos="284"/>
        </w:tabs>
        <w:spacing w:after="0"/>
        <w:jc w:val="both"/>
        <w:rPr>
          <w:b/>
          <w:color w:val="auto"/>
          <w:sz w:val="24"/>
          <w:szCs w:val="24"/>
          <w:lang w:val="ro-RO"/>
        </w:rPr>
      </w:pPr>
    </w:p>
    <w:p w14:paraId="67A0CDF4" w14:textId="20280B19" w:rsidR="00B82819" w:rsidRPr="00A72A17" w:rsidRDefault="001E1E07" w:rsidP="001913AD">
      <w:pPr>
        <w:pStyle w:val="BodyA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  <w:r w:rsidRPr="00A72A17">
        <w:rPr>
          <w:b/>
          <w:color w:val="auto"/>
          <w:sz w:val="24"/>
          <w:szCs w:val="24"/>
          <w:lang w:val="ro-RO"/>
        </w:rPr>
        <w:t>I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nformațiile necesare </w:t>
      </w:r>
      <w:r w:rsidR="00B82819" w:rsidRPr="00A72A17">
        <w:rPr>
          <w:rFonts w:eastAsia="Times New Roman"/>
          <w:b/>
          <w:color w:val="auto"/>
          <w:sz w:val="24"/>
          <w:szCs w:val="24"/>
          <w:lang w:val="ro-RO"/>
        </w:rPr>
        <w:t xml:space="preserve">pentru </w:t>
      </w:r>
      <w:r w:rsidRPr="00A72A17">
        <w:rPr>
          <w:rFonts w:eastAsia="Times New Roman"/>
          <w:b/>
          <w:color w:val="auto"/>
          <w:sz w:val="24"/>
          <w:szCs w:val="24"/>
          <w:lang w:val="ro-RO"/>
        </w:rPr>
        <w:t>aprecierea</w:t>
      </w:r>
      <w:r w:rsidR="00B82819" w:rsidRPr="00A72A17">
        <w:rPr>
          <w:rFonts w:eastAsia="Times New Roman"/>
          <w:b/>
          <w:color w:val="auto"/>
          <w:sz w:val="24"/>
          <w:szCs w:val="24"/>
          <w:lang w:val="ro-RO"/>
        </w:rPr>
        <w:t xml:space="preserve"> </w:t>
      </w:r>
      <w:r w:rsidRPr="00A72A17">
        <w:rPr>
          <w:rFonts w:eastAsia="Times New Roman"/>
          <w:b/>
          <w:color w:val="auto"/>
          <w:sz w:val="24"/>
          <w:szCs w:val="24"/>
          <w:lang w:val="ro-RO"/>
        </w:rPr>
        <w:t>gradului de îndeplinire a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 criterii</w:t>
      </w:r>
      <w:r w:rsidRPr="00A72A17">
        <w:rPr>
          <w:b/>
          <w:color w:val="auto"/>
          <w:sz w:val="24"/>
          <w:szCs w:val="24"/>
          <w:lang w:val="ro-RO"/>
        </w:rPr>
        <w:t>lor</w:t>
      </w:r>
      <w:r w:rsidR="00B82819" w:rsidRPr="00A72A17">
        <w:rPr>
          <w:b/>
          <w:color w:val="auto"/>
          <w:sz w:val="24"/>
          <w:szCs w:val="24"/>
          <w:lang w:val="ro-RO"/>
        </w:rPr>
        <w:t>, standarde</w:t>
      </w:r>
      <w:r w:rsidRPr="00A72A17">
        <w:rPr>
          <w:b/>
          <w:color w:val="auto"/>
          <w:sz w:val="24"/>
          <w:szCs w:val="24"/>
          <w:lang w:val="ro-RO"/>
        </w:rPr>
        <w:t>lor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 și indicatori</w:t>
      </w:r>
      <w:r w:rsidRPr="00A72A17">
        <w:rPr>
          <w:b/>
          <w:color w:val="auto"/>
          <w:sz w:val="24"/>
          <w:szCs w:val="24"/>
          <w:lang w:val="ro-RO"/>
        </w:rPr>
        <w:t>lor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 de performanță</w:t>
      </w:r>
      <w:r w:rsidRPr="00A72A17">
        <w:rPr>
          <w:b/>
          <w:color w:val="auto"/>
          <w:sz w:val="24"/>
          <w:szCs w:val="24"/>
          <w:lang w:val="ro-RO"/>
        </w:rPr>
        <w:t>,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 </w:t>
      </w:r>
      <w:r w:rsidRPr="00A72A17">
        <w:rPr>
          <w:color w:val="auto"/>
          <w:sz w:val="24"/>
          <w:szCs w:val="24"/>
          <w:lang w:val="ro-RO"/>
        </w:rPr>
        <w:t>prevăzuți</w:t>
      </w:r>
      <w:r w:rsidR="00B82819" w:rsidRPr="00A72A17">
        <w:rPr>
          <w:color w:val="auto"/>
          <w:sz w:val="24"/>
          <w:szCs w:val="24"/>
          <w:lang w:val="ro-RO"/>
        </w:rPr>
        <w:t xml:space="preserve"> în</w:t>
      </w:r>
      <w:r w:rsidR="00B82819" w:rsidRPr="00A72A17">
        <w:rPr>
          <w:i/>
          <w:color w:val="auto"/>
          <w:sz w:val="24"/>
          <w:szCs w:val="24"/>
          <w:lang w:val="ro-RO"/>
        </w:rPr>
        <w:t xml:space="preserve"> </w:t>
      </w:r>
      <w:r w:rsidR="00B82819" w:rsidRPr="00A72A17">
        <w:rPr>
          <w:color w:val="auto"/>
          <w:sz w:val="24"/>
          <w:szCs w:val="24"/>
          <w:lang w:val="ro-RO"/>
        </w:rPr>
        <w:t xml:space="preserve">anexa nr. </w:t>
      </w:r>
      <w:r w:rsidR="00DF6625" w:rsidRPr="00A72A17">
        <w:rPr>
          <w:color w:val="auto"/>
          <w:sz w:val="24"/>
          <w:szCs w:val="24"/>
          <w:lang w:val="ro-RO"/>
        </w:rPr>
        <w:t>2</w:t>
      </w:r>
      <w:r w:rsidR="00B82819" w:rsidRPr="00A72A17">
        <w:rPr>
          <w:color w:val="auto"/>
          <w:sz w:val="24"/>
          <w:szCs w:val="24"/>
          <w:lang w:val="ro-RO"/>
        </w:rPr>
        <w:t xml:space="preserve"> a </w:t>
      </w:r>
      <w:r w:rsidR="00B82819" w:rsidRPr="00A72A17">
        <w:rPr>
          <w:rFonts w:eastAsia="Times New Roman"/>
          <w:color w:val="auto"/>
          <w:sz w:val="24"/>
          <w:szCs w:val="20"/>
          <w:lang w:val="ro-RO"/>
        </w:rPr>
        <w:t>Ordinului ministrului educației și cercetării nr. 3200 din 7 februarie 2020</w:t>
      </w:r>
      <w:r w:rsidR="00B82819" w:rsidRPr="00A72A17">
        <w:rPr>
          <w:color w:val="auto"/>
          <w:sz w:val="24"/>
          <w:szCs w:val="24"/>
          <w:lang w:val="ro-RO"/>
        </w:rPr>
        <w:t xml:space="preserve">, </w:t>
      </w:r>
      <w:r w:rsidR="00B82819" w:rsidRPr="00A72A17">
        <w:rPr>
          <w:rFonts w:eastAsia="Times New Roman"/>
          <w:color w:val="auto"/>
          <w:sz w:val="24"/>
          <w:szCs w:val="24"/>
          <w:lang w:val="ro-RO"/>
        </w:rPr>
        <w:t>însoțite de documente doveditoare accesibile în format electronic</w:t>
      </w:r>
      <w:r w:rsidR="00B82819" w:rsidRPr="00A72A17">
        <w:rPr>
          <w:color w:val="auto"/>
          <w:sz w:val="24"/>
          <w:szCs w:val="24"/>
          <w:lang w:val="ro-RO"/>
        </w:rPr>
        <w:t xml:space="preserve">, ca măsuri de asigurare a calității la nivelul </w:t>
      </w:r>
      <w:r w:rsidR="00DF6625" w:rsidRPr="00A72A17">
        <w:rPr>
          <w:color w:val="auto"/>
          <w:sz w:val="24"/>
          <w:szCs w:val="24"/>
          <w:lang w:val="ro-RO"/>
        </w:rPr>
        <w:t>domeniului de studii universitare de doctorat</w:t>
      </w:r>
      <w:r w:rsidRPr="00A72A17">
        <w:rPr>
          <w:color w:val="auto"/>
          <w:sz w:val="24"/>
          <w:szCs w:val="24"/>
          <w:lang w:val="ro-RO"/>
        </w:rPr>
        <w:t>.</w:t>
      </w:r>
    </w:p>
    <w:p w14:paraId="1F09E91A" w14:textId="77777777" w:rsidR="001E1E07" w:rsidRPr="00A72A17" w:rsidRDefault="001E1E07" w:rsidP="00B82819">
      <w:pPr>
        <w:pStyle w:val="BodyA"/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</w:p>
    <w:p w14:paraId="5A404DA8" w14:textId="133D7070" w:rsidR="00B82819" w:rsidRPr="00A72A17" w:rsidRDefault="001E1E07" w:rsidP="001913AD">
      <w:pPr>
        <w:pStyle w:val="BodyA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  <w:r w:rsidRPr="00A72A17">
        <w:rPr>
          <w:b/>
          <w:color w:val="auto"/>
          <w:sz w:val="24"/>
          <w:szCs w:val="24"/>
          <w:lang w:val="ro-RO"/>
        </w:rPr>
        <w:t>S</w:t>
      </w:r>
      <w:r w:rsidR="00B82819" w:rsidRPr="00A72A17">
        <w:rPr>
          <w:b/>
          <w:color w:val="auto"/>
          <w:sz w:val="24"/>
          <w:szCs w:val="24"/>
          <w:lang w:val="ro-RO"/>
        </w:rPr>
        <w:t xml:space="preserve">trategii și proceduri implementate la nivelul </w:t>
      </w:r>
      <w:r w:rsidR="00DF6625" w:rsidRPr="00A72A17">
        <w:rPr>
          <w:b/>
          <w:color w:val="auto"/>
          <w:sz w:val="24"/>
          <w:szCs w:val="24"/>
          <w:lang w:val="ro-RO"/>
        </w:rPr>
        <w:t>domeniului de studii universitare de doctorat</w:t>
      </w:r>
      <w:r w:rsidR="00B82819" w:rsidRPr="00A72A17">
        <w:rPr>
          <w:b/>
          <w:color w:val="auto"/>
          <w:sz w:val="24"/>
          <w:szCs w:val="24"/>
          <w:lang w:val="ro-RO"/>
        </w:rPr>
        <w:t>,</w:t>
      </w:r>
      <w:r w:rsidR="00B82819" w:rsidRPr="00A72A17">
        <w:rPr>
          <w:color w:val="auto"/>
          <w:sz w:val="24"/>
          <w:szCs w:val="24"/>
          <w:lang w:val="ro-RO"/>
        </w:rPr>
        <w:t xml:space="preserve"> ca măsuri de îmbunătățire continuă a calității programelor </w:t>
      </w:r>
      <w:r w:rsidR="00CD1E86">
        <w:rPr>
          <w:color w:val="auto"/>
          <w:sz w:val="24"/>
          <w:szCs w:val="24"/>
          <w:lang w:val="ro-RO"/>
        </w:rPr>
        <w:t xml:space="preserve">de studii </w:t>
      </w:r>
      <w:r w:rsidR="00B82819" w:rsidRPr="00A72A17">
        <w:rPr>
          <w:color w:val="auto"/>
          <w:sz w:val="24"/>
          <w:szCs w:val="24"/>
          <w:lang w:val="ro-RO"/>
        </w:rPr>
        <w:t xml:space="preserve">doctorale, </w:t>
      </w:r>
      <w:r w:rsidRPr="00A72A17">
        <w:rPr>
          <w:color w:val="auto"/>
          <w:sz w:val="24"/>
          <w:szCs w:val="24"/>
          <w:lang w:val="ro-RO"/>
        </w:rPr>
        <w:t xml:space="preserve">altele decât cele </w:t>
      </w:r>
      <w:r w:rsidR="00DA63F3" w:rsidRPr="00A72A17">
        <w:rPr>
          <w:color w:val="auto"/>
          <w:sz w:val="24"/>
          <w:szCs w:val="24"/>
          <w:lang w:val="ro-RO"/>
        </w:rPr>
        <w:t>prevăzute de</w:t>
      </w:r>
      <w:r w:rsidR="00B82819" w:rsidRPr="00A72A17">
        <w:rPr>
          <w:color w:val="auto"/>
          <w:sz w:val="24"/>
          <w:szCs w:val="24"/>
          <w:lang w:val="ro-RO"/>
        </w:rPr>
        <w:t xml:space="preserve"> standardele minimale</w:t>
      </w:r>
      <w:r w:rsidR="00DA63F3" w:rsidRPr="00A72A17">
        <w:rPr>
          <w:color w:val="auto"/>
          <w:sz w:val="24"/>
          <w:szCs w:val="24"/>
          <w:lang w:val="ro-RO"/>
        </w:rPr>
        <w:t>,</w:t>
      </w:r>
      <w:r w:rsidR="00B82819" w:rsidRPr="00A72A17">
        <w:rPr>
          <w:color w:val="auto"/>
          <w:sz w:val="24"/>
          <w:szCs w:val="24"/>
          <w:lang w:val="ro-RO"/>
        </w:rPr>
        <w:t xml:space="preserve"> </w:t>
      </w:r>
      <w:r w:rsidR="00DA63F3" w:rsidRPr="00A72A17">
        <w:rPr>
          <w:color w:val="auto"/>
          <w:sz w:val="24"/>
          <w:szCs w:val="24"/>
          <w:lang w:val="ro-RO"/>
        </w:rPr>
        <w:t>reglementate</w:t>
      </w:r>
      <w:r w:rsidR="00B82819" w:rsidRPr="00A72A17">
        <w:rPr>
          <w:color w:val="auto"/>
          <w:sz w:val="24"/>
          <w:szCs w:val="24"/>
          <w:lang w:val="ro-RO"/>
        </w:rPr>
        <w:t xml:space="preserve"> </w:t>
      </w:r>
      <w:r w:rsidR="00DA63F3" w:rsidRPr="00A72A17">
        <w:rPr>
          <w:color w:val="auto"/>
          <w:sz w:val="24"/>
          <w:szCs w:val="24"/>
          <w:lang w:val="ro-RO"/>
        </w:rPr>
        <w:t>de</w:t>
      </w:r>
      <w:r w:rsidR="00B82819" w:rsidRPr="00A72A17">
        <w:rPr>
          <w:i/>
          <w:color w:val="auto"/>
          <w:sz w:val="24"/>
          <w:szCs w:val="24"/>
          <w:lang w:val="ro-RO"/>
        </w:rPr>
        <w:t xml:space="preserve"> </w:t>
      </w:r>
      <w:r w:rsidR="00B82819" w:rsidRPr="00A72A17">
        <w:rPr>
          <w:color w:val="auto"/>
          <w:sz w:val="24"/>
          <w:szCs w:val="24"/>
          <w:lang w:val="ro-RO"/>
        </w:rPr>
        <w:t xml:space="preserve">anexa nr. </w:t>
      </w:r>
      <w:r w:rsidR="00DF6625" w:rsidRPr="00A72A17">
        <w:rPr>
          <w:color w:val="auto"/>
          <w:sz w:val="24"/>
          <w:szCs w:val="24"/>
          <w:lang w:val="ro-RO"/>
        </w:rPr>
        <w:t>2</w:t>
      </w:r>
      <w:r w:rsidR="00B82819" w:rsidRPr="00A72A17">
        <w:rPr>
          <w:color w:val="auto"/>
          <w:sz w:val="24"/>
          <w:szCs w:val="24"/>
          <w:lang w:val="ro-RO"/>
        </w:rPr>
        <w:t xml:space="preserve"> a </w:t>
      </w:r>
      <w:r w:rsidR="00B82819" w:rsidRPr="00A72A17">
        <w:rPr>
          <w:rFonts w:eastAsia="Times New Roman"/>
          <w:color w:val="auto"/>
          <w:sz w:val="24"/>
          <w:szCs w:val="20"/>
          <w:lang w:val="ro-RO"/>
        </w:rPr>
        <w:t>Ordinului ministrului educației și cercetării nr. 3200 din 7 februarie 2020</w:t>
      </w:r>
      <w:r w:rsidR="00B82819" w:rsidRPr="00A72A17">
        <w:rPr>
          <w:color w:val="auto"/>
          <w:sz w:val="24"/>
          <w:szCs w:val="24"/>
          <w:lang w:val="ro-RO"/>
        </w:rPr>
        <w:t>.</w:t>
      </w:r>
    </w:p>
    <w:p w14:paraId="6FEFFD3F" w14:textId="77777777" w:rsidR="00DA63F3" w:rsidRPr="00A72A17" w:rsidRDefault="00DA63F3" w:rsidP="00B82819">
      <w:pPr>
        <w:pStyle w:val="BodyA"/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</w:p>
    <w:p w14:paraId="64D34435" w14:textId="0D08D7C3" w:rsidR="00B82819" w:rsidRPr="00A72A17" w:rsidRDefault="00DA63F3" w:rsidP="001913AD">
      <w:pPr>
        <w:pStyle w:val="BodyA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  <w:r w:rsidRPr="00A72A17">
        <w:rPr>
          <w:b/>
          <w:color w:val="auto"/>
          <w:sz w:val="24"/>
          <w:szCs w:val="24"/>
          <w:lang w:val="ro-RO"/>
        </w:rPr>
        <w:t>A</w:t>
      </w:r>
      <w:r w:rsidR="00B82819" w:rsidRPr="00A72A17">
        <w:rPr>
          <w:b/>
          <w:color w:val="auto"/>
          <w:sz w:val="24"/>
          <w:szCs w:val="24"/>
          <w:lang w:val="ro-RO"/>
        </w:rPr>
        <w:t>lte informații suplimentare</w:t>
      </w:r>
      <w:r w:rsidRPr="00A72A17">
        <w:rPr>
          <w:color w:val="auto"/>
          <w:sz w:val="24"/>
          <w:szCs w:val="24"/>
          <w:lang w:val="ro-RO"/>
        </w:rPr>
        <w:t xml:space="preserve">, relevante pentru </w:t>
      </w:r>
      <w:r w:rsidR="00DF6625" w:rsidRPr="00A72A17">
        <w:rPr>
          <w:color w:val="auto"/>
          <w:sz w:val="24"/>
          <w:szCs w:val="24"/>
          <w:lang w:val="ro-RO"/>
        </w:rPr>
        <w:t>domeniul de studii universitare de doctorat.</w:t>
      </w:r>
    </w:p>
    <w:p w14:paraId="17EC9BDE" w14:textId="77777777" w:rsidR="00DA63F3" w:rsidRPr="00A72A17" w:rsidRDefault="00DA63F3" w:rsidP="00B82819">
      <w:pPr>
        <w:pStyle w:val="BodyA"/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</w:p>
    <w:p w14:paraId="6B245BBA" w14:textId="5471C440" w:rsidR="00B82819" w:rsidRPr="00A72A17" w:rsidRDefault="00DA63F3" w:rsidP="001913AD">
      <w:pPr>
        <w:pStyle w:val="BodyA"/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jc w:val="both"/>
        <w:rPr>
          <w:color w:val="auto"/>
          <w:sz w:val="24"/>
          <w:szCs w:val="24"/>
          <w:lang w:val="ro-RO"/>
        </w:rPr>
      </w:pPr>
      <w:r w:rsidRPr="00A72A17">
        <w:rPr>
          <w:b/>
          <w:color w:val="auto"/>
          <w:sz w:val="24"/>
          <w:szCs w:val="24"/>
          <w:lang w:val="ro-RO"/>
        </w:rPr>
        <w:t>O</w:t>
      </w:r>
      <w:r w:rsidR="00B82819" w:rsidRPr="00A72A17">
        <w:rPr>
          <w:b/>
          <w:color w:val="auto"/>
          <w:sz w:val="24"/>
          <w:szCs w:val="24"/>
          <w:lang w:val="ro-RO"/>
        </w:rPr>
        <w:t>pis anexe</w:t>
      </w:r>
      <w:r w:rsidRPr="00A72A17">
        <w:rPr>
          <w:color w:val="auto"/>
          <w:sz w:val="24"/>
          <w:szCs w:val="24"/>
          <w:lang w:val="ro-RO"/>
        </w:rPr>
        <w:t xml:space="preserve">, </w:t>
      </w:r>
      <w:r w:rsidR="00B82819" w:rsidRPr="00A72A17">
        <w:rPr>
          <w:color w:val="auto"/>
          <w:sz w:val="24"/>
          <w:szCs w:val="24"/>
          <w:lang w:val="ro-RO"/>
        </w:rPr>
        <w:t xml:space="preserve">în format electronic, cu acces prin link-uri incluse în textul raportului de evaluare internă. Anexele conțin </w:t>
      </w:r>
      <w:r w:rsidR="00B24473" w:rsidRPr="00A72A17">
        <w:rPr>
          <w:color w:val="auto"/>
          <w:sz w:val="24"/>
          <w:szCs w:val="24"/>
          <w:lang w:val="ro-RO"/>
        </w:rPr>
        <w:t xml:space="preserve">documente și date care fundamentează </w:t>
      </w:r>
      <w:r w:rsidR="00B82819" w:rsidRPr="00A72A17">
        <w:rPr>
          <w:color w:val="auto"/>
          <w:sz w:val="24"/>
          <w:szCs w:val="24"/>
          <w:lang w:val="ro-RO"/>
        </w:rPr>
        <w:t>informațiil</w:t>
      </w:r>
      <w:r w:rsidR="00B24473" w:rsidRPr="00A72A17">
        <w:rPr>
          <w:color w:val="auto"/>
          <w:sz w:val="24"/>
          <w:szCs w:val="24"/>
          <w:lang w:val="ro-RO"/>
        </w:rPr>
        <w:t>e</w:t>
      </w:r>
      <w:r w:rsidR="00B82819" w:rsidRPr="00A72A17">
        <w:rPr>
          <w:color w:val="auto"/>
          <w:sz w:val="24"/>
          <w:szCs w:val="24"/>
          <w:lang w:val="ro-RO"/>
        </w:rPr>
        <w:t xml:space="preserve"> prezentate în raport</w:t>
      </w:r>
      <w:r w:rsidRPr="00A72A17">
        <w:rPr>
          <w:color w:val="auto"/>
          <w:sz w:val="24"/>
          <w:szCs w:val="24"/>
          <w:lang w:val="ro-RO"/>
        </w:rPr>
        <w:t>ul de evaluare internă</w:t>
      </w:r>
      <w:r w:rsidR="00B82819" w:rsidRPr="00A72A17">
        <w:rPr>
          <w:color w:val="auto"/>
          <w:sz w:val="24"/>
          <w:szCs w:val="24"/>
          <w:lang w:val="ro-RO"/>
        </w:rPr>
        <w:t>.</w:t>
      </w:r>
      <w:r w:rsidR="00BE5E0E">
        <w:rPr>
          <w:color w:val="auto"/>
          <w:sz w:val="24"/>
          <w:szCs w:val="24"/>
          <w:lang w:val="ro-RO"/>
        </w:rPr>
        <w:t xml:space="preserve"> </w:t>
      </w:r>
      <w:r w:rsidR="00BE5E0E">
        <w:rPr>
          <w:color w:val="auto"/>
          <w:sz w:val="24"/>
          <w:szCs w:val="24"/>
          <w:lang w:val="ro-RO"/>
        </w:rPr>
        <w:t>De fiecare dată când este aplicabil, informațiile vor fi prezentate și în funcție de gen.</w:t>
      </w:r>
    </w:p>
    <w:p w14:paraId="6CDFE4BB" w14:textId="77777777" w:rsidR="00B82819" w:rsidRPr="00A72A17" w:rsidRDefault="00B82819" w:rsidP="00B82819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A72A17">
        <w:rPr>
          <w:rFonts w:cs="Calibri"/>
          <w:sz w:val="24"/>
          <w:szCs w:val="24"/>
        </w:rPr>
        <w:t xml:space="preserve"> </w:t>
      </w:r>
    </w:p>
    <w:p w14:paraId="6456C501" w14:textId="77777777" w:rsidR="00B82819" w:rsidRPr="00A72A17" w:rsidRDefault="00B82819" w:rsidP="00B82819">
      <w:pPr>
        <w:spacing w:after="0"/>
        <w:ind w:firstLine="708"/>
        <w:jc w:val="both"/>
        <w:rPr>
          <w:rFonts w:cs="Calibri"/>
          <w:b/>
          <w:sz w:val="24"/>
          <w:szCs w:val="24"/>
        </w:rPr>
      </w:pPr>
    </w:p>
    <w:p w14:paraId="6FD0A6EE" w14:textId="77777777" w:rsidR="00B82819" w:rsidRPr="00A72A17" w:rsidRDefault="00B82819" w:rsidP="00B82819">
      <w:pPr>
        <w:spacing w:after="0"/>
        <w:ind w:firstLine="708"/>
        <w:jc w:val="both"/>
        <w:rPr>
          <w:rFonts w:cs="Calibri"/>
          <w:b/>
          <w:sz w:val="24"/>
          <w:szCs w:val="24"/>
        </w:rPr>
      </w:pPr>
    </w:p>
    <w:p w14:paraId="32A0E40F" w14:textId="77777777" w:rsidR="00B82819" w:rsidRPr="00A72A17" w:rsidRDefault="00B82819" w:rsidP="00B82819">
      <w:pPr>
        <w:spacing w:after="0"/>
        <w:ind w:firstLine="708"/>
        <w:jc w:val="both"/>
        <w:rPr>
          <w:rFonts w:cs="Calibri"/>
          <w:b/>
          <w:sz w:val="24"/>
          <w:szCs w:val="24"/>
        </w:rPr>
      </w:pPr>
    </w:p>
    <w:sectPr w:rsidR="00B82819" w:rsidRPr="00A72A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01C8" w14:textId="77777777" w:rsidR="00AE6F04" w:rsidRDefault="00AE6F04" w:rsidP="00B82819">
      <w:pPr>
        <w:spacing w:after="0" w:line="240" w:lineRule="auto"/>
      </w:pPr>
      <w:r>
        <w:separator/>
      </w:r>
    </w:p>
  </w:endnote>
  <w:endnote w:type="continuationSeparator" w:id="0">
    <w:p w14:paraId="6F1DB11F" w14:textId="77777777" w:rsidR="00AE6F04" w:rsidRDefault="00AE6F04" w:rsidP="00B8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5B83" w14:textId="77777777" w:rsidR="00AE6F04" w:rsidRDefault="00AE6F04" w:rsidP="00B82819">
      <w:pPr>
        <w:spacing w:after="0" w:line="240" w:lineRule="auto"/>
      </w:pPr>
      <w:r>
        <w:separator/>
      </w:r>
    </w:p>
  </w:footnote>
  <w:footnote w:type="continuationSeparator" w:id="0">
    <w:p w14:paraId="00672E58" w14:textId="77777777" w:rsidR="00AE6F04" w:rsidRDefault="00AE6F04" w:rsidP="00B8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5927" w14:textId="77777777" w:rsidR="00B82819" w:rsidRDefault="00B82819">
    <w:pPr>
      <w:pStyle w:val="Header"/>
    </w:pPr>
    <w:r>
      <w:rPr>
        <w:noProof/>
        <w:lang w:eastAsia="ro-RO"/>
      </w:rPr>
      <w:drawing>
        <wp:anchor distT="0" distB="80010" distL="120396" distR="194437" simplePos="0" relativeHeight="251659264" behindDoc="0" locked="0" layoutInCell="1" allowOverlap="1" wp14:anchorId="604F2DA0" wp14:editId="58964936">
          <wp:simplePos x="0" y="0"/>
          <wp:positionH relativeFrom="column">
            <wp:posOffset>91559</wp:posOffset>
          </wp:positionH>
          <wp:positionV relativeFrom="paragraph">
            <wp:posOffset>-413366</wp:posOffset>
          </wp:positionV>
          <wp:extent cx="742385" cy="841972"/>
          <wp:effectExtent l="0" t="0" r="635" b="0"/>
          <wp:wrapNone/>
          <wp:docPr id="2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5" descr="C:\Users\emilia.gogu\Pictures\aracis.jpg"/>
                  <pic:cNvPicPr>
                    <a:picLocks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AE13F" w14:textId="77777777" w:rsidR="00B82819" w:rsidRDefault="00B82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D57"/>
    <w:multiLevelType w:val="multilevel"/>
    <w:tmpl w:val="CF660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55EF7D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873185"/>
    <w:multiLevelType w:val="hybridMultilevel"/>
    <w:tmpl w:val="BF2CA83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11"/>
    <w:rsid w:val="001913AD"/>
    <w:rsid w:val="001E1E07"/>
    <w:rsid w:val="004A2635"/>
    <w:rsid w:val="004B7C53"/>
    <w:rsid w:val="00567FF4"/>
    <w:rsid w:val="006D5D11"/>
    <w:rsid w:val="00762CE9"/>
    <w:rsid w:val="007B3297"/>
    <w:rsid w:val="00823C33"/>
    <w:rsid w:val="008E6677"/>
    <w:rsid w:val="00A72A17"/>
    <w:rsid w:val="00AE6F04"/>
    <w:rsid w:val="00B24473"/>
    <w:rsid w:val="00B82819"/>
    <w:rsid w:val="00BD624B"/>
    <w:rsid w:val="00BE5E0E"/>
    <w:rsid w:val="00CA43B1"/>
    <w:rsid w:val="00CD1E86"/>
    <w:rsid w:val="00DA63F3"/>
    <w:rsid w:val="00DF6625"/>
    <w:rsid w:val="00E52CFB"/>
    <w:rsid w:val="00E83CCC"/>
    <w:rsid w:val="00E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2697"/>
  <w15:docId w15:val="{CA970D6D-2214-445E-A43D-2824A30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19"/>
  </w:style>
  <w:style w:type="paragraph" w:styleId="Footer">
    <w:name w:val="footer"/>
    <w:basedOn w:val="Normal"/>
    <w:link w:val="FooterChar"/>
    <w:uiPriority w:val="99"/>
    <w:unhideWhenUsed/>
    <w:rsid w:val="00B8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19"/>
  </w:style>
  <w:style w:type="paragraph" w:styleId="BalloonText">
    <w:name w:val="Balloon Text"/>
    <w:basedOn w:val="Normal"/>
    <w:link w:val="BalloonTextChar"/>
    <w:uiPriority w:val="99"/>
    <w:semiHidden/>
    <w:unhideWhenUsed/>
    <w:rsid w:val="00B8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819"/>
    <w:pPr>
      <w:spacing w:after="160" w:line="259" w:lineRule="auto"/>
      <w:ind w:left="720"/>
      <w:contextualSpacing/>
    </w:pPr>
    <w:rPr>
      <w:lang w:val="en-GB"/>
    </w:rPr>
  </w:style>
  <w:style w:type="paragraph" w:customStyle="1" w:styleId="BodyA">
    <w:name w:val="Body A"/>
    <w:rsid w:val="00B828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FA6F-81B0-4359-B061-4C4C37F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519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2020-04-07T16:14:00Z</dcterms:created>
  <dcterms:modified xsi:type="dcterms:W3CDTF">2021-02-16T20:14:00Z</dcterms:modified>
</cp:coreProperties>
</file>