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55578" w14:textId="77777777" w:rsidR="00A17D74" w:rsidRPr="00927C0B" w:rsidRDefault="00A17D74" w:rsidP="005E4018">
      <w:pPr>
        <w:shd w:val="clear" w:color="auto" w:fill="FFFFFF"/>
        <w:spacing w:after="0"/>
        <w:ind w:left="720" w:hanging="360"/>
        <w:jc w:val="center"/>
        <w:rPr>
          <w:rFonts w:cs="Calibri"/>
          <w:color w:val="000000" w:themeColor="text1"/>
          <w:sz w:val="20"/>
          <w:szCs w:val="20"/>
        </w:rPr>
      </w:pPr>
    </w:p>
    <w:p w14:paraId="0A8CBE61" w14:textId="0BDDE7AF" w:rsidR="00A17D74" w:rsidRPr="00927C0B" w:rsidRDefault="001E673C" w:rsidP="005E4018">
      <w:pPr>
        <w:shd w:val="clear" w:color="auto" w:fill="FFFFFF"/>
        <w:spacing w:after="0"/>
        <w:jc w:val="center"/>
        <w:rPr>
          <w:rFonts w:cs="Calibri"/>
          <w:b/>
          <w:color w:val="000000" w:themeColor="text1"/>
          <w:sz w:val="44"/>
          <w:szCs w:val="24"/>
        </w:rPr>
      </w:pPr>
      <w:r w:rsidRPr="001E673C">
        <w:rPr>
          <w:rFonts w:cs="Calibri"/>
          <w:b/>
          <w:color w:val="000000" w:themeColor="text1"/>
          <w:sz w:val="44"/>
          <w:szCs w:val="24"/>
        </w:rPr>
        <w:t>Recomand</w:t>
      </w:r>
      <w:r w:rsidR="00697D3A">
        <w:rPr>
          <w:rFonts w:cs="Calibri"/>
          <w:b/>
          <w:color w:val="000000" w:themeColor="text1"/>
          <w:sz w:val="44"/>
          <w:szCs w:val="24"/>
        </w:rPr>
        <w:t>ări</w:t>
      </w:r>
      <w:r w:rsidRPr="001E673C">
        <w:rPr>
          <w:rFonts w:cs="Calibri"/>
          <w:b/>
          <w:color w:val="000000" w:themeColor="text1"/>
          <w:sz w:val="44"/>
          <w:szCs w:val="24"/>
        </w:rPr>
        <w:t xml:space="preserve"> privind </w:t>
      </w:r>
      <w:r w:rsidR="009A6072">
        <w:rPr>
          <w:rFonts w:cs="Calibri"/>
          <w:b/>
          <w:color w:val="000000" w:themeColor="text1"/>
          <w:sz w:val="44"/>
          <w:szCs w:val="24"/>
        </w:rPr>
        <w:t>activitățile desfășurate în perioada vizitei efectuate de</w:t>
      </w:r>
      <w:r w:rsidRPr="001E673C">
        <w:rPr>
          <w:rFonts w:cs="Calibri"/>
          <w:b/>
          <w:color w:val="000000" w:themeColor="text1"/>
          <w:sz w:val="44"/>
          <w:szCs w:val="24"/>
        </w:rPr>
        <w:t xml:space="preserve"> </w:t>
      </w:r>
      <w:r w:rsidR="009A6072">
        <w:rPr>
          <w:rFonts w:cs="Calibri"/>
          <w:b/>
          <w:color w:val="000000" w:themeColor="text1"/>
          <w:sz w:val="44"/>
          <w:szCs w:val="24"/>
        </w:rPr>
        <w:t xml:space="preserve">către </w:t>
      </w:r>
      <w:r w:rsidRPr="001E673C">
        <w:rPr>
          <w:rFonts w:cs="Calibri"/>
          <w:b/>
          <w:color w:val="000000" w:themeColor="text1"/>
          <w:sz w:val="44"/>
          <w:szCs w:val="24"/>
        </w:rPr>
        <w:t>comisi</w:t>
      </w:r>
      <w:r w:rsidR="009A6072">
        <w:rPr>
          <w:rFonts w:cs="Calibri"/>
          <w:b/>
          <w:color w:val="000000" w:themeColor="text1"/>
          <w:sz w:val="44"/>
          <w:szCs w:val="24"/>
        </w:rPr>
        <w:t>a</w:t>
      </w:r>
      <w:r w:rsidRPr="001E673C">
        <w:rPr>
          <w:rFonts w:cs="Calibri"/>
          <w:b/>
          <w:color w:val="000000" w:themeColor="text1"/>
          <w:sz w:val="44"/>
          <w:szCs w:val="24"/>
        </w:rPr>
        <w:t xml:space="preserve"> de experți </w:t>
      </w:r>
      <w:r w:rsidR="001057DA">
        <w:rPr>
          <w:rFonts w:cs="Calibri"/>
          <w:b/>
          <w:color w:val="000000" w:themeColor="text1"/>
          <w:sz w:val="44"/>
          <w:szCs w:val="24"/>
        </w:rPr>
        <w:t>pentru evaluarea unui domeniu de studii universitare de doctorat</w:t>
      </w:r>
    </w:p>
    <w:p w14:paraId="54704449" w14:textId="77777777" w:rsidR="00A17D74" w:rsidRPr="00927C0B" w:rsidRDefault="00A17D74" w:rsidP="005E4018">
      <w:pPr>
        <w:spacing w:after="0"/>
        <w:rPr>
          <w:rFonts w:cs="Calibri"/>
          <w:color w:val="000000" w:themeColor="text1"/>
          <w:sz w:val="20"/>
          <w:szCs w:val="24"/>
        </w:rPr>
      </w:pP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694"/>
        <w:gridCol w:w="3241"/>
      </w:tblGrid>
      <w:tr w:rsidR="002F1EA4" w:rsidRPr="00927C0B" w14:paraId="2069D198" w14:textId="77777777" w:rsidTr="009A6072">
        <w:trPr>
          <w:cantSplit/>
          <w:tblHeader/>
          <w:jc w:val="center"/>
        </w:trPr>
        <w:tc>
          <w:tcPr>
            <w:tcW w:w="3964" w:type="dxa"/>
            <w:vAlign w:val="center"/>
          </w:tcPr>
          <w:p w14:paraId="71F8956F" w14:textId="77777777" w:rsidR="002F1EA4" w:rsidRPr="00927C0B" w:rsidRDefault="002F1EA4" w:rsidP="005E4018">
            <w:pPr>
              <w:spacing w:after="0"/>
              <w:jc w:val="center"/>
              <w:rPr>
                <w:rFonts w:cs="Calibri"/>
                <w:b/>
                <w:color w:val="000000" w:themeColor="text1"/>
                <w:sz w:val="24"/>
                <w:szCs w:val="24"/>
              </w:rPr>
            </w:pPr>
            <w:r w:rsidRPr="00927C0B">
              <w:rPr>
                <w:rFonts w:cs="Calibri"/>
                <w:b/>
                <w:color w:val="000000" w:themeColor="text1"/>
                <w:sz w:val="24"/>
                <w:szCs w:val="24"/>
              </w:rPr>
              <w:t>Activitate</w:t>
            </w:r>
          </w:p>
        </w:tc>
        <w:tc>
          <w:tcPr>
            <w:tcW w:w="2694" w:type="dxa"/>
            <w:vAlign w:val="center"/>
          </w:tcPr>
          <w:p w14:paraId="6889B942" w14:textId="77777777" w:rsidR="002F1EA4" w:rsidRPr="00927C0B" w:rsidRDefault="002F1EA4" w:rsidP="005E4018">
            <w:pPr>
              <w:spacing w:after="0"/>
              <w:jc w:val="center"/>
              <w:rPr>
                <w:rFonts w:cs="Calibri"/>
                <w:b/>
                <w:color w:val="000000" w:themeColor="text1"/>
                <w:sz w:val="24"/>
                <w:szCs w:val="24"/>
              </w:rPr>
            </w:pPr>
            <w:r w:rsidRPr="00927C0B">
              <w:rPr>
                <w:rFonts w:cs="Calibri"/>
                <w:b/>
                <w:color w:val="000000" w:themeColor="text1"/>
                <w:sz w:val="24"/>
                <w:szCs w:val="24"/>
              </w:rPr>
              <w:t>Participanți</w:t>
            </w:r>
          </w:p>
        </w:tc>
        <w:tc>
          <w:tcPr>
            <w:tcW w:w="3241" w:type="dxa"/>
            <w:vAlign w:val="center"/>
          </w:tcPr>
          <w:p w14:paraId="06951596" w14:textId="77777777" w:rsidR="002F1EA4" w:rsidRPr="00927C0B" w:rsidRDefault="002F1EA4" w:rsidP="005E4018">
            <w:pPr>
              <w:spacing w:after="0"/>
              <w:jc w:val="center"/>
              <w:rPr>
                <w:rFonts w:cs="Calibri"/>
                <w:b/>
                <w:color w:val="000000" w:themeColor="text1"/>
                <w:sz w:val="24"/>
                <w:szCs w:val="24"/>
              </w:rPr>
            </w:pPr>
            <w:r w:rsidRPr="00927C0B">
              <w:rPr>
                <w:rFonts w:cs="Calibri"/>
                <w:b/>
                <w:color w:val="000000" w:themeColor="text1"/>
                <w:sz w:val="24"/>
                <w:szCs w:val="24"/>
              </w:rPr>
              <w:t>Scopul activității</w:t>
            </w:r>
          </w:p>
        </w:tc>
      </w:tr>
      <w:tr w:rsidR="002F1EA4" w:rsidRPr="00927C0B" w14:paraId="68229951" w14:textId="77777777" w:rsidTr="009A6072">
        <w:trPr>
          <w:cantSplit/>
          <w:jc w:val="center"/>
        </w:trPr>
        <w:tc>
          <w:tcPr>
            <w:tcW w:w="3964" w:type="dxa"/>
            <w:vAlign w:val="center"/>
          </w:tcPr>
          <w:p w14:paraId="169A6D3E" w14:textId="77777777" w:rsidR="002F1EA4" w:rsidRPr="00927C0B" w:rsidRDefault="002F1EA4" w:rsidP="005E4018">
            <w:pPr>
              <w:spacing w:after="0"/>
              <w:jc w:val="center"/>
              <w:rPr>
                <w:rFonts w:cs="Calibri"/>
                <w:color w:val="000000" w:themeColor="text1"/>
                <w:sz w:val="24"/>
                <w:szCs w:val="24"/>
              </w:rPr>
            </w:pPr>
            <w:r w:rsidRPr="00927C0B">
              <w:rPr>
                <w:rFonts w:cs="Calibri"/>
                <w:color w:val="000000" w:themeColor="text1"/>
                <w:sz w:val="24"/>
                <w:szCs w:val="24"/>
              </w:rPr>
              <w:t>Întâlnire organizatorică a comisiei de experți evaluatori</w:t>
            </w:r>
          </w:p>
        </w:tc>
        <w:tc>
          <w:tcPr>
            <w:tcW w:w="2694" w:type="dxa"/>
            <w:vAlign w:val="center"/>
          </w:tcPr>
          <w:p w14:paraId="3D5D9FC4" w14:textId="77777777" w:rsidR="002F1EA4" w:rsidRPr="00927C0B" w:rsidRDefault="002F1EA4" w:rsidP="005E4018">
            <w:pPr>
              <w:spacing w:after="0"/>
              <w:jc w:val="center"/>
              <w:rPr>
                <w:rFonts w:cs="Calibri"/>
                <w:color w:val="000000" w:themeColor="text1"/>
                <w:sz w:val="24"/>
                <w:szCs w:val="24"/>
              </w:rPr>
            </w:pPr>
            <w:r w:rsidRPr="00927C0B">
              <w:rPr>
                <w:rFonts w:cs="Calibri"/>
                <w:color w:val="000000" w:themeColor="text1"/>
                <w:sz w:val="24"/>
                <w:szCs w:val="24"/>
              </w:rPr>
              <w:t>Membrii comisiei de experți evaluatori</w:t>
            </w:r>
          </w:p>
        </w:tc>
        <w:tc>
          <w:tcPr>
            <w:tcW w:w="3241" w:type="dxa"/>
            <w:vAlign w:val="center"/>
          </w:tcPr>
          <w:p w14:paraId="4BC6FD8A" w14:textId="77777777" w:rsidR="002F1EA4" w:rsidRPr="00927C0B" w:rsidRDefault="002F1EA4" w:rsidP="005E4018">
            <w:pPr>
              <w:spacing w:after="0"/>
              <w:jc w:val="center"/>
              <w:rPr>
                <w:rFonts w:cs="Calibri"/>
                <w:color w:val="000000" w:themeColor="text1"/>
                <w:sz w:val="24"/>
                <w:szCs w:val="24"/>
              </w:rPr>
            </w:pPr>
            <w:r w:rsidRPr="00927C0B">
              <w:rPr>
                <w:rFonts w:cs="Calibri"/>
                <w:color w:val="000000" w:themeColor="text1"/>
                <w:sz w:val="24"/>
                <w:szCs w:val="24"/>
              </w:rPr>
              <w:t>- Discutarea celor constatate de fiecare membru al echipei în urma parcurgerii și analizei individuale a raportului de evaluare internă redactat de către furnizorul de educație supus evaluării și a anexelor sale și a completării fișei de verificare preliminară;</w:t>
            </w:r>
          </w:p>
          <w:p w14:paraId="2BF98115" w14:textId="77777777" w:rsidR="002F1EA4" w:rsidRPr="00927C0B" w:rsidRDefault="002F1EA4" w:rsidP="005E4018">
            <w:pPr>
              <w:spacing w:after="0"/>
              <w:jc w:val="center"/>
              <w:rPr>
                <w:rFonts w:cs="Calibri"/>
                <w:color w:val="000000" w:themeColor="text1"/>
                <w:sz w:val="24"/>
                <w:szCs w:val="24"/>
              </w:rPr>
            </w:pPr>
            <w:r w:rsidRPr="00927C0B">
              <w:rPr>
                <w:rFonts w:cs="Calibri"/>
                <w:color w:val="000000" w:themeColor="text1"/>
                <w:sz w:val="24"/>
                <w:szCs w:val="24"/>
              </w:rPr>
              <w:t>- discutarea și stabilirea programului întâlnirilor suplimentare de pe parcursul vizitei de evaluare;</w:t>
            </w:r>
          </w:p>
          <w:p w14:paraId="1DD9D654" w14:textId="77777777" w:rsidR="002F1EA4" w:rsidRPr="00927C0B" w:rsidRDefault="002F1EA4" w:rsidP="005E4018">
            <w:pPr>
              <w:spacing w:after="0"/>
              <w:jc w:val="center"/>
              <w:rPr>
                <w:rFonts w:cs="Calibri"/>
                <w:color w:val="000000" w:themeColor="text1"/>
                <w:sz w:val="24"/>
                <w:szCs w:val="24"/>
              </w:rPr>
            </w:pPr>
            <w:r w:rsidRPr="00927C0B">
              <w:rPr>
                <w:rFonts w:cs="Calibri"/>
                <w:color w:val="000000" w:themeColor="text1"/>
                <w:sz w:val="24"/>
                <w:szCs w:val="24"/>
              </w:rPr>
              <w:t>- discutarea și stabilirea documentelor suplimentare ce vor fi solicitate instituției evaluate;</w:t>
            </w:r>
          </w:p>
          <w:p w14:paraId="490003DF" w14:textId="77777777" w:rsidR="002F1EA4" w:rsidRPr="00927C0B" w:rsidRDefault="002F1EA4" w:rsidP="005E4018">
            <w:pPr>
              <w:spacing w:after="0"/>
              <w:jc w:val="center"/>
              <w:rPr>
                <w:rFonts w:cs="Calibri"/>
                <w:color w:val="000000" w:themeColor="text1"/>
                <w:sz w:val="24"/>
                <w:szCs w:val="24"/>
              </w:rPr>
            </w:pPr>
            <w:r w:rsidRPr="00927C0B">
              <w:rPr>
                <w:rFonts w:cs="Calibri"/>
                <w:color w:val="000000" w:themeColor="text1"/>
                <w:sz w:val="24"/>
                <w:szCs w:val="24"/>
              </w:rPr>
              <w:t>- împărțirea și coordonarea rolurilor pe care le va avea fiecare membru al echipei pe parcursul vizitei de evaluare;</w:t>
            </w:r>
          </w:p>
          <w:p w14:paraId="20A1540F" w14:textId="77777777" w:rsidR="002F1EA4" w:rsidRPr="00927C0B" w:rsidRDefault="002F1EA4" w:rsidP="005E4018">
            <w:pPr>
              <w:spacing w:after="0"/>
              <w:jc w:val="center"/>
              <w:rPr>
                <w:rFonts w:cs="Calibri"/>
                <w:color w:val="000000" w:themeColor="text1"/>
                <w:sz w:val="24"/>
                <w:szCs w:val="24"/>
              </w:rPr>
            </w:pPr>
            <w:r w:rsidRPr="00927C0B">
              <w:rPr>
                <w:rFonts w:cs="Calibri"/>
                <w:color w:val="000000" w:themeColor="text1"/>
                <w:sz w:val="24"/>
                <w:szCs w:val="24"/>
              </w:rPr>
              <w:t>- pregătirea întâlnirilor din prima zi de evaluare.</w:t>
            </w:r>
          </w:p>
        </w:tc>
      </w:tr>
      <w:tr w:rsidR="009A6072" w:rsidRPr="00927C0B" w14:paraId="70D2E78D" w14:textId="77777777" w:rsidTr="009A6072">
        <w:trPr>
          <w:cantSplit/>
          <w:jc w:val="center"/>
        </w:trPr>
        <w:tc>
          <w:tcPr>
            <w:tcW w:w="3964" w:type="dxa"/>
            <w:vAlign w:val="center"/>
          </w:tcPr>
          <w:p w14:paraId="12609869" w14:textId="77777777" w:rsidR="009A6072" w:rsidRPr="00927C0B" w:rsidRDefault="009A6072" w:rsidP="009A6072">
            <w:pPr>
              <w:spacing w:after="0"/>
              <w:jc w:val="center"/>
              <w:rPr>
                <w:rFonts w:cs="Calibri"/>
                <w:color w:val="000000" w:themeColor="text1"/>
                <w:sz w:val="24"/>
                <w:szCs w:val="24"/>
              </w:rPr>
            </w:pPr>
            <w:r w:rsidRPr="00927C0B">
              <w:rPr>
                <w:rFonts w:cs="Calibri"/>
                <w:color w:val="000000" w:themeColor="text1"/>
                <w:sz w:val="24"/>
                <w:szCs w:val="24"/>
              </w:rPr>
              <w:t>Discuții tehnice în cadrul comisiei de experți evaluatori</w:t>
            </w:r>
          </w:p>
        </w:tc>
        <w:tc>
          <w:tcPr>
            <w:tcW w:w="2694" w:type="dxa"/>
            <w:vAlign w:val="center"/>
          </w:tcPr>
          <w:p w14:paraId="1EC3C1C6" w14:textId="77777777" w:rsidR="009A6072" w:rsidRPr="00927C0B" w:rsidRDefault="009A6072" w:rsidP="009A6072">
            <w:pPr>
              <w:spacing w:after="0"/>
              <w:jc w:val="center"/>
              <w:rPr>
                <w:rFonts w:cs="Calibri"/>
                <w:color w:val="000000" w:themeColor="text1"/>
                <w:sz w:val="24"/>
                <w:szCs w:val="24"/>
              </w:rPr>
            </w:pPr>
            <w:r w:rsidRPr="00927C0B">
              <w:rPr>
                <w:rFonts w:cs="Calibri"/>
                <w:color w:val="000000" w:themeColor="text1"/>
                <w:sz w:val="24"/>
                <w:szCs w:val="24"/>
              </w:rPr>
              <w:t>Membrii comisiei de experți evaluatori</w:t>
            </w:r>
          </w:p>
        </w:tc>
        <w:tc>
          <w:tcPr>
            <w:tcW w:w="3241" w:type="dxa"/>
            <w:vAlign w:val="center"/>
          </w:tcPr>
          <w:p w14:paraId="56ED834C" w14:textId="77777777" w:rsidR="009A6072" w:rsidRPr="00927C0B" w:rsidRDefault="009A6072" w:rsidP="009A6072">
            <w:pPr>
              <w:spacing w:after="0"/>
              <w:jc w:val="center"/>
              <w:rPr>
                <w:rFonts w:cs="Calibri"/>
                <w:color w:val="000000" w:themeColor="text1"/>
                <w:sz w:val="24"/>
                <w:szCs w:val="24"/>
              </w:rPr>
            </w:pPr>
            <w:r w:rsidRPr="00927C0B">
              <w:rPr>
                <w:rFonts w:cs="Calibri"/>
                <w:color w:val="000000" w:themeColor="text1"/>
                <w:sz w:val="24"/>
                <w:szCs w:val="24"/>
              </w:rPr>
              <w:t xml:space="preserve">Concluzii asupra întâlnirii precedente, efectuarea de consemnări în </w:t>
            </w:r>
            <w:proofErr w:type="spellStart"/>
            <w:r>
              <w:rPr>
                <w:rFonts w:cs="Calibri"/>
                <w:color w:val="000000" w:themeColor="text1"/>
                <w:sz w:val="24"/>
                <w:szCs w:val="24"/>
              </w:rPr>
              <w:t>draftul</w:t>
            </w:r>
            <w:proofErr w:type="spellEnd"/>
            <w:r>
              <w:rPr>
                <w:rFonts w:cs="Calibri"/>
                <w:color w:val="000000" w:themeColor="text1"/>
                <w:sz w:val="24"/>
                <w:szCs w:val="24"/>
              </w:rPr>
              <w:t xml:space="preserve"> raportului de evaluare externă</w:t>
            </w:r>
            <w:r w:rsidRPr="00927C0B">
              <w:rPr>
                <w:rFonts w:cs="Calibri"/>
                <w:color w:val="000000" w:themeColor="text1"/>
                <w:sz w:val="24"/>
                <w:szCs w:val="24"/>
              </w:rPr>
              <w:t xml:space="preserve"> și pregătirea următoarei întâlniri.</w:t>
            </w:r>
          </w:p>
        </w:tc>
      </w:tr>
      <w:tr w:rsidR="009A6072" w:rsidRPr="00927C0B" w14:paraId="2112763C" w14:textId="77777777" w:rsidTr="009A6072">
        <w:trPr>
          <w:cantSplit/>
          <w:jc w:val="center"/>
        </w:trPr>
        <w:tc>
          <w:tcPr>
            <w:tcW w:w="3964" w:type="dxa"/>
            <w:vAlign w:val="center"/>
          </w:tcPr>
          <w:p w14:paraId="660A1078" w14:textId="77777777" w:rsidR="009A6072" w:rsidRPr="00927C0B" w:rsidRDefault="009A6072" w:rsidP="009A6072">
            <w:pPr>
              <w:spacing w:after="0"/>
              <w:jc w:val="center"/>
              <w:rPr>
                <w:rFonts w:cs="Calibri"/>
                <w:color w:val="000000" w:themeColor="text1"/>
                <w:sz w:val="24"/>
                <w:szCs w:val="24"/>
              </w:rPr>
            </w:pPr>
            <w:r w:rsidRPr="00927C0B">
              <w:rPr>
                <w:rFonts w:cs="Calibri"/>
                <w:color w:val="000000" w:themeColor="text1"/>
                <w:sz w:val="24"/>
                <w:szCs w:val="24"/>
              </w:rPr>
              <w:lastRenderedPageBreak/>
              <w:t>Întâlnirea comisiei de experți evaluatori cu reprezentanții conducerii instituției evaluate și ai CSUD</w:t>
            </w:r>
          </w:p>
        </w:tc>
        <w:tc>
          <w:tcPr>
            <w:tcW w:w="2694" w:type="dxa"/>
            <w:vAlign w:val="center"/>
          </w:tcPr>
          <w:p w14:paraId="2B26BC5D" w14:textId="77777777" w:rsidR="009A6072" w:rsidRPr="00927C0B" w:rsidRDefault="009A6072" w:rsidP="009A6072">
            <w:pPr>
              <w:spacing w:after="0"/>
              <w:jc w:val="center"/>
              <w:rPr>
                <w:rFonts w:cs="Calibri"/>
                <w:color w:val="000000" w:themeColor="text1"/>
                <w:sz w:val="24"/>
                <w:szCs w:val="24"/>
              </w:rPr>
            </w:pPr>
            <w:r w:rsidRPr="00927C0B">
              <w:rPr>
                <w:rFonts w:cs="Calibri"/>
                <w:color w:val="000000" w:themeColor="text1"/>
                <w:sz w:val="24"/>
                <w:szCs w:val="24"/>
              </w:rPr>
              <w:t>Membrii comisiei de experți evaluatori Reprezentanți ai conducerii universității</w:t>
            </w:r>
          </w:p>
          <w:p w14:paraId="0814FD6D" w14:textId="77777777" w:rsidR="009A6072" w:rsidRPr="00927C0B" w:rsidRDefault="009A6072" w:rsidP="009A6072">
            <w:pPr>
              <w:spacing w:after="0"/>
              <w:jc w:val="center"/>
              <w:rPr>
                <w:rFonts w:cs="Calibri"/>
                <w:color w:val="000000" w:themeColor="text1"/>
                <w:sz w:val="24"/>
                <w:szCs w:val="24"/>
              </w:rPr>
            </w:pPr>
            <w:r w:rsidRPr="00927C0B">
              <w:rPr>
                <w:rFonts w:cs="Calibri"/>
                <w:color w:val="000000" w:themeColor="text1"/>
                <w:sz w:val="24"/>
                <w:szCs w:val="24"/>
              </w:rPr>
              <w:t>Reprezentanți ai CSUD și ai școlii/școlilor doctorale</w:t>
            </w:r>
          </w:p>
          <w:p w14:paraId="284AF692" w14:textId="77777777" w:rsidR="009A6072" w:rsidRPr="00927C0B" w:rsidRDefault="009A6072" w:rsidP="009A6072">
            <w:pPr>
              <w:spacing w:after="0"/>
              <w:jc w:val="center"/>
              <w:rPr>
                <w:rFonts w:cs="Calibri"/>
                <w:color w:val="000000" w:themeColor="text1"/>
                <w:sz w:val="24"/>
                <w:szCs w:val="24"/>
              </w:rPr>
            </w:pPr>
            <w:r w:rsidRPr="00927C0B">
              <w:rPr>
                <w:rFonts w:cs="Calibri"/>
                <w:color w:val="000000" w:themeColor="text1"/>
                <w:sz w:val="24"/>
                <w:szCs w:val="24"/>
              </w:rPr>
              <w:t>Persoana de contact</w:t>
            </w:r>
          </w:p>
        </w:tc>
        <w:tc>
          <w:tcPr>
            <w:tcW w:w="3241" w:type="dxa"/>
            <w:vAlign w:val="center"/>
          </w:tcPr>
          <w:p w14:paraId="5EE20CD0" w14:textId="77777777" w:rsidR="009A6072" w:rsidRPr="00927C0B" w:rsidRDefault="009A6072" w:rsidP="009A6072">
            <w:pPr>
              <w:spacing w:after="0"/>
              <w:jc w:val="center"/>
              <w:rPr>
                <w:rFonts w:cs="Calibri"/>
                <w:color w:val="000000" w:themeColor="text1"/>
                <w:sz w:val="24"/>
                <w:szCs w:val="24"/>
              </w:rPr>
            </w:pPr>
            <w:r w:rsidRPr="00927C0B">
              <w:rPr>
                <w:rFonts w:cs="Calibri"/>
                <w:color w:val="000000" w:themeColor="text1"/>
                <w:sz w:val="24"/>
                <w:szCs w:val="24"/>
              </w:rPr>
              <w:t>Prezentarea scopului, obiectivelor și programului vizitei de evaluare.</w:t>
            </w:r>
          </w:p>
        </w:tc>
      </w:tr>
      <w:tr w:rsidR="009A6072" w:rsidRPr="00927C0B" w14:paraId="7206BC8D" w14:textId="77777777" w:rsidTr="009A6072">
        <w:trPr>
          <w:cantSplit/>
          <w:jc w:val="center"/>
        </w:trPr>
        <w:tc>
          <w:tcPr>
            <w:tcW w:w="3964" w:type="dxa"/>
            <w:vAlign w:val="center"/>
          </w:tcPr>
          <w:p w14:paraId="5C4E9A23" w14:textId="77777777" w:rsidR="009A6072" w:rsidRPr="00927C0B" w:rsidRDefault="009A6072" w:rsidP="009A6072">
            <w:pPr>
              <w:spacing w:after="0"/>
              <w:jc w:val="center"/>
              <w:rPr>
                <w:rFonts w:cs="Calibri"/>
                <w:color w:val="000000" w:themeColor="text1"/>
                <w:sz w:val="24"/>
                <w:szCs w:val="24"/>
              </w:rPr>
            </w:pPr>
            <w:r w:rsidRPr="00927C0B">
              <w:rPr>
                <w:rFonts w:cs="Calibri"/>
                <w:color w:val="000000" w:themeColor="text1"/>
                <w:sz w:val="24"/>
                <w:szCs w:val="24"/>
              </w:rPr>
              <w:t>Întâlnirea comisiei de experți evaluatori cu responsabilul domeniului de studii universitare de doctorat evaluat și cu echipa care a realizat raportul de evaluare internă</w:t>
            </w:r>
          </w:p>
        </w:tc>
        <w:tc>
          <w:tcPr>
            <w:tcW w:w="2694" w:type="dxa"/>
            <w:vAlign w:val="center"/>
          </w:tcPr>
          <w:p w14:paraId="4E7C0F59" w14:textId="77777777" w:rsidR="009A6072" w:rsidRPr="00927C0B" w:rsidRDefault="009A6072" w:rsidP="009A6072">
            <w:pPr>
              <w:spacing w:after="0"/>
              <w:jc w:val="center"/>
              <w:rPr>
                <w:rFonts w:cs="Calibri"/>
                <w:color w:val="000000" w:themeColor="text1"/>
                <w:sz w:val="24"/>
                <w:szCs w:val="24"/>
              </w:rPr>
            </w:pPr>
            <w:r w:rsidRPr="00927C0B">
              <w:rPr>
                <w:rFonts w:cs="Calibri"/>
                <w:color w:val="000000" w:themeColor="text1"/>
                <w:sz w:val="24"/>
                <w:szCs w:val="24"/>
              </w:rPr>
              <w:t>Membrii comisiei de experți evaluatori</w:t>
            </w:r>
          </w:p>
          <w:p w14:paraId="0865B2FC" w14:textId="162FC2CA" w:rsidR="009A6072" w:rsidRPr="00927C0B" w:rsidRDefault="009A6072" w:rsidP="009A6072">
            <w:pPr>
              <w:spacing w:after="0"/>
              <w:jc w:val="center"/>
              <w:rPr>
                <w:rFonts w:cs="Calibri"/>
                <w:color w:val="000000" w:themeColor="text1"/>
                <w:sz w:val="24"/>
                <w:szCs w:val="24"/>
              </w:rPr>
            </w:pPr>
            <w:r w:rsidRPr="00927C0B">
              <w:rPr>
                <w:rFonts w:cs="Calibri"/>
                <w:color w:val="000000" w:themeColor="text1"/>
                <w:sz w:val="24"/>
                <w:szCs w:val="24"/>
              </w:rPr>
              <w:t xml:space="preserve">Reprezentanți </w:t>
            </w:r>
            <w:r w:rsidR="00697D3A">
              <w:rPr>
                <w:rFonts w:cs="Calibri"/>
                <w:color w:val="000000" w:themeColor="text1"/>
                <w:sz w:val="24"/>
                <w:szCs w:val="24"/>
              </w:rPr>
              <w:t xml:space="preserve">ai </w:t>
            </w:r>
            <w:r w:rsidRPr="00927C0B">
              <w:rPr>
                <w:rFonts w:cs="Calibri"/>
                <w:color w:val="000000" w:themeColor="text1"/>
                <w:sz w:val="24"/>
                <w:szCs w:val="24"/>
              </w:rPr>
              <w:t>instituției evaluate</w:t>
            </w:r>
          </w:p>
        </w:tc>
        <w:tc>
          <w:tcPr>
            <w:tcW w:w="3241" w:type="dxa"/>
            <w:vAlign w:val="center"/>
          </w:tcPr>
          <w:p w14:paraId="4090255E" w14:textId="77777777" w:rsidR="009A6072" w:rsidRPr="00927C0B" w:rsidRDefault="009A6072" w:rsidP="009A6072">
            <w:pPr>
              <w:spacing w:after="0"/>
              <w:jc w:val="center"/>
              <w:rPr>
                <w:rFonts w:cs="Calibri"/>
                <w:color w:val="000000" w:themeColor="text1"/>
                <w:sz w:val="24"/>
                <w:szCs w:val="24"/>
              </w:rPr>
            </w:pPr>
            <w:r w:rsidRPr="00927C0B">
              <w:rPr>
                <w:rFonts w:cs="Calibri"/>
                <w:color w:val="000000" w:themeColor="text1"/>
                <w:sz w:val="24"/>
                <w:szCs w:val="24"/>
              </w:rPr>
              <w:t>- Discuții preliminare cu privire la analiza și constatările membrilor echipei de evaluare, anterioare vizitei de evaluare, asupra raportului de evaluare internă și a anexelor sale depuse de către furnizorul de educație supus evaluării;</w:t>
            </w:r>
          </w:p>
          <w:p w14:paraId="74F66D59" w14:textId="77777777" w:rsidR="009A6072" w:rsidRPr="00927C0B" w:rsidRDefault="009A6072" w:rsidP="009A6072">
            <w:pPr>
              <w:spacing w:after="0"/>
              <w:jc w:val="center"/>
              <w:rPr>
                <w:rFonts w:cs="Calibri"/>
                <w:color w:val="000000" w:themeColor="text1"/>
                <w:sz w:val="24"/>
                <w:szCs w:val="24"/>
              </w:rPr>
            </w:pPr>
            <w:r w:rsidRPr="00927C0B">
              <w:rPr>
                <w:rFonts w:cs="Calibri"/>
                <w:color w:val="000000" w:themeColor="text1"/>
                <w:sz w:val="24"/>
                <w:szCs w:val="24"/>
              </w:rPr>
              <w:t>- discuții privind organizarea vizitei de evaluare;</w:t>
            </w:r>
          </w:p>
          <w:p w14:paraId="2CCDE63F" w14:textId="77777777" w:rsidR="009A6072" w:rsidRPr="00927C0B" w:rsidRDefault="009A6072" w:rsidP="009A6072">
            <w:pPr>
              <w:spacing w:after="0"/>
              <w:jc w:val="center"/>
              <w:rPr>
                <w:rFonts w:cs="Calibri"/>
                <w:color w:val="000000" w:themeColor="text1"/>
                <w:sz w:val="24"/>
                <w:szCs w:val="24"/>
              </w:rPr>
            </w:pPr>
            <w:r w:rsidRPr="00927C0B">
              <w:rPr>
                <w:rFonts w:cs="Calibri"/>
                <w:color w:val="000000" w:themeColor="text1"/>
                <w:sz w:val="24"/>
                <w:szCs w:val="24"/>
              </w:rPr>
              <w:t>- discuții despre documentele suplimentare pe care reprezentanții instituției evaluate trebuie să le pună la dispoziția comisiei de experți evaluatori și despre întâlnirile suplimentare cu reprezentanți ai diverselor structuri ale instituției pe care comisia dorește să le aibă.</w:t>
            </w:r>
          </w:p>
        </w:tc>
      </w:tr>
      <w:tr w:rsidR="009A6072" w:rsidRPr="00927C0B" w14:paraId="2DAD8CDC" w14:textId="77777777" w:rsidTr="009A6072">
        <w:trPr>
          <w:cantSplit/>
          <w:jc w:val="center"/>
        </w:trPr>
        <w:tc>
          <w:tcPr>
            <w:tcW w:w="3964" w:type="dxa"/>
            <w:vAlign w:val="center"/>
          </w:tcPr>
          <w:p w14:paraId="077C59DF" w14:textId="77777777" w:rsidR="009A6072" w:rsidRPr="00927C0B" w:rsidRDefault="009A6072" w:rsidP="009A6072">
            <w:pPr>
              <w:spacing w:after="0"/>
              <w:jc w:val="center"/>
              <w:rPr>
                <w:rFonts w:cs="Calibri"/>
                <w:color w:val="000000" w:themeColor="text1"/>
                <w:sz w:val="24"/>
                <w:szCs w:val="24"/>
              </w:rPr>
            </w:pPr>
            <w:r w:rsidRPr="00927C0B">
              <w:rPr>
                <w:rFonts w:cs="Calibri"/>
                <w:color w:val="000000" w:themeColor="text1"/>
                <w:sz w:val="24"/>
                <w:szCs w:val="24"/>
              </w:rPr>
              <w:t>Vizitarea bazei materiale didactice și de cercetare</w:t>
            </w:r>
          </w:p>
        </w:tc>
        <w:tc>
          <w:tcPr>
            <w:tcW w:w="2694" w:type="dxa"/>
            <w:vAlign w:val="center"/>
          </w:tcPr>
          <w:p w14:paraId="4890822C" w14:textId="77777777" w:rsidR="009A6072" w:rsidRPr="00927C0B" w:rsidRDefault="009A6072" w:rsidP="009A6072">
            <w:pPr>
              <w:spacing w:after="0"/>
              <w:jc w:val="center"/>
              <w:rPr>
                <w:rFonts w:cs="Calibri"/>
                <w:color w:val="000000" w:themeColor="text1"/>
                <w:sz w:val="24"/>
                <w:szCs w:val="24"/>
              </w:rPr>
            </w:pPr>
            <w:r w:rsidRPr="00927C0B">
              <w:rPr>
                <w:rFonts w:cs="Calibri"/>
                <w:color w:val="000000" w:themeColor="text1"/>
                <w:sz w:val="24"/>
                <w:szCs w:val="24"/>
              </w:rPr>
              <w:t>Membrii comisiei de experți evaluatori</w:t>
            </w:r>
          </w:p>
          <w:p w14:paraId="6ADEBABB" w14:textId="77777777" w:rsidR="009A6072" w:rsidRPr="00927C0B" w:rsidRDefault="009A6072" w:rsidP="009A6072">
            <w:pPr>
              <w:spacing w:after="0"/>
              <w:jc w:val="center"/>
              <w:rPr>
                <w:rFonts w:cs="Calibri"/>
                <w:color w:val="000000" w:themeColor="text1"/>
                <w:sz w:val="24"/>
                <w:szCs w:val="24"/>
              </w:rPr>
            </w:pPr>
            <w:r w:rsidRPr="00927C0B">
              <w:rPr>
                <w:rFonts w:cs="Calibri"/>
                <w:color w:val="000000" w:themeColor="text1"/>
                <w:sz w:val="24"/>
                <w:szCs w:val="24"/>
              </w:rPr>
              <w:t>Reprezentanți ai instituției evaluate</w:t>
            </w:r>
          </w:p>
        </w:tc>
        <w:tc>
          <w:tcPr>
            <w:tcW w:w="3241" w:type="dxa"/>
            <w:vAlign w:val="center"/>
          </w:tcPr>
          <w:p w14:paraId="7DAE9596" w14:textId="41507329" w:rsidR="009A6072" w:rsidRPr="00927C0B" w:rsidRDefault="009A6072" w:rsidP="009A6072">
            <w:pPr>
              <w:spacing w:after="0"/>
              <w:jc w:val="center"/>
              <w:rPr>
                <w:rFonts w:cs="Calibri"/>
                <w:color w:val="000000" w:themeColor="text1"/>
                <w:sz w:val="24"/>
                <w:szCs w:val="24"/>
              </w:rPr>
            </w:pPr>
            <w:r w:rsidRPr="00927C0B">
              <w:rPr>
                <w:rFonts w:cs="Calibri"/>
                <w:color w:val="000000" w:themeColor="text1"/>
                <w:sz w:val="24"/>
              </w:rPr>
              <w:t>Se va urmări gradul de compatibilitate a infrastructurii de studiu și de cercetare cu domeniul de studii universitare de doctorat și capacitatea acesteia de a susține realizarea tezelor de doctorat în condiții de performanță</w:t>
            </w:r>
          </w:p>
        </w:tc>
      </w:tr>
      <w:tr w:rsidR="009A6072" w:rsidRPr="00927C0B" w14:paraId="31F0E8B0" w14:textId="77777777" w:rsidTr="009A6072">
        <w:trPr>
          <w:cantSplit/>
          <w:jc w:val="center"/>
        </w:trPr>
        <w:tc>
          <w:tcPr>
            <w:tcW w:w="3964" w:type="dxa"/>
            <w:vAlign w:val="center"/>
          </w:tcPr>
          <w:p w14:paraId="7601A704" w14:textId="77777777" w:rsidR="009A6072" w:rsidRPr="00927C0B" w:rsidRDefault="009A6072" w:rsidP="009A6072">
            <w:pPr>
              <w:spacing w:after="0"/>
              <w:jc w:val="center"/>
              <w:rPr>
                <w:rFonts w:cs="Calibri"/>
                <w:color w:val="000000" w:themeColor="text1"/>
                <w:sz w:val="24"/>
                <w:szCs w:val="24"/>
              </w:rPr>
            </w:pPr>
            <w:r w:rsidRPr="00927C0B">
              <w:rPr>
                <w:rFonts w:cs="Calibri"/>
                <w:color w:val="000000" w:themeColor="text1"/>
                <w:sz w:val="24"/>
                <w:szCs w:val="24"/>
              </w:rPr>
              <w:lastRenderedPageBreak/>
              <w:t>Întâlnirea comisiei de experți evaluatori cu personalul didactic aferent domeniului evaluat</w:t>
            </w:r>
          </w:p>
        </w:tc>
        <w:tc>
          <w:tcPr>
            <w:tcW w:w="2694" w:type="dxa"/>
            <w:vAlign w:val="center"/>
          </w:tcPr>
          <w:p w14:paraId="38712F27" w14:textId="77777777" w:rsidR="009A6072" w:rsidRPr="00927C0B" w:rsidRDefault="009A6072" w:rsidP="009A6072">
            <w:pPr>
              <w:spacing w:after="0"/>
              <w:jc w:val="center"/>
              <w:rPr>
                <w:rFonts w:cs="Calibri"/>
                <w:color w:val="000000" w:themeColor="text1"/>
                <w:sz w:val="24"/>
                <w:szCs w:val="24"/>
              </w:rPr>
            </w:pPr>
            <w:r w:rsidRPr="00927C0B">
              <w:rPr>
                <w:rFonts w:cs="Calibri"/>
                <w:color w:val="000000" w:themeColor="text1"/>
                <w:sz w:val="24"/>
                <w:szCs w:val="24"/>
              </w:rPr>
              <w:t>Membrii comisiei de experți evaluatori</w:t>
            </w:r>
          </w:p>
          <w:p w14:paraId="692AB7D1" w14:textId="31950703" w:rsidR="009A6072" w:rsidRPr="00927C0B" w:rsidRDefault="009A6072" w:rsidP="009A6072">
            <w:pPr>
              <w:spacing w:after="0"/>
              <w:jc w:val="center"/>
              <w:rPr>
                <w:rFonts w:cs="Calibri"/>
                <w:color w:val="000000" w:themeColor="text1"/>
                <w:sz w:val="24"/>
                <w:szCs w:val="24"/>
              </w:rPr>
            </w:pPr>
            <w:r w:rsidRPr="00927C0B">
              <w:rPr>
                <w:rFonts w:cs="Calibri"/>
                <w:color w:val="000000" w:themeColor="text1"/>
                <w:sz w:val="24"/>
                <w:szCs w:val="24"/>
              </w:rPr>
              <w:t xml:space="preserve">Cadre didactice </w:t>
            </w:r>
            <w:r w:rsidR="00697D3A">
              <w:rPr>
                <w:rFonts w:cs="Calibri"/>
                <w:color w:val="000000" w:themeColor="text1"/>
                <w:sz w:val="24"/>
                <w:szCs w:val="24"/>
              </w:rPr>
              <w:t xml:space="preserve">care au calitatea de </w:t>
            </w:r>
            <w:r w:rsidRPr="00927C0B">
              <w:rPr>
                <w:rFonts w:cs="Calibri"/>
                <w:color w:val="000000" w:themeColor="text1"/>
                <w:sz w:val="24"/>
                <w:szCs w:val="24"/>
              </w:rPr>
              <w:t>conducător de doctorat</w:t>
            </w:r>
          </w:p>
        </w:tc>
        <w:tc>
          <w:tcPr>
            <w:tcW w:w="3241" w:type="dxa"/>
            <w:vAlign w:val="center"/>
          </w:tcPr>
          <w:p w14:paraId="26DAC629" w14:textId="77777777" w:rsidR="009A6072" w:rsidRPr="00927C0B" w:rsidRDefault="009A6072" w:rsidP="009A6072">
            <w:pPr>
              <w:spacing w:after="0"/>
              <w:jc w:val="center"/>
              <w:rPr>
                <w:rFonts w:cs="Calibri"/>
                <w:color w:val="000000" w:themeColor="text1"/>
                <w:sz w:val="24"/>
                <w:szCs w:val="24"/>
              </w:rPr>
            </w:pPr>
          </w:p>
        </w:tc>
      </w:tr>
      <w:tr w:rsidR="009A6072" w:rsidRPr="00927C0B" w14:paraId="68EC6A45" w14:textId="77777777" w:rsidTr="009A6072">
        <w:trPr>
          <w:cantSplit/>
          <w:jc w:val="center"/>
        </w:trPr>
        <w:tc>
          <w:tcPr>
            <w:tcW w:w="3964" w:type="dxa"/>
            <w:vAlign w:val="center"/>
          </w:tcPr>
          <w:p w14:paraId="021B80F5" w14:textId="77777777" w:rsidR="009A6072" w:rsidRPr="00927C0B" w:rsidRDefault="009A6072" w:rsidP="009A6072">
            <w:pPr>
              <w:spacing w:after="0"/>
              <w:jc w:val="center"/>
              <w:rPr>
                <w:rFonts w:cs="Calibri"/>
                <w:color w:val="000000" w:themeColor="text1"/>
                <w:sz w:val="24"/>
                <w:szCs w:val="24"/>
              </w:rPr>
            </w:pPr>
            <w:r w:rsidRPr="00927C0B">
              <w:rPr>
                <w:rFonts w:cs="Calibri"/>
                <w:color w:val="000000" w:themeColor="text1"/>
                <w:sz w:val="24"/>
                <w:szCs w:val="24"/>
              </w:rPr>
              <w:t>Întâlnirea comisiei de experți evaluatori cu angajatori ai absolvenților din domeniul de studii universitare de doctorat evaluat – angajatorii pot participa și online la întâlnire, utilizând mecanisme de comunicare audio-video</w:t>
            </w:r>
          </w:p>
        </w:tc>
        <w:tc>
          <w:tcPr>
            <w:tcW w:w="2694" w:type="dxa"/>
            <w:vAlign w:val="center"/>
          </w:tcPr>
          <w:p w14:paraId="742EE262" w14:textId="77777777" w:rsidR="009A6072" w:rsidRPr="00927C0B" w:rsidRDefault="009A6072" w:rsidP="009A6072">
            <w:pPr>
              <w:spacing w:after="0"/>
              <w:jc w:val="center"/>
              <w:rPr>
                <w:rFonts w:cs="Calibri"/>
                <w:color w:val="000000" w:themeColor="text1"/>
                <w:sz w:val="24"/>
                <w:szCs w:val="24"/>
              </w:rPr>
            </w:pPr>
            <w:r w:rsidRPr="00927C0B">
              <w:rPr>
                <w:rFonts w:cs="Calibri"/>
                <w:color w:val="000000" w:themeColor="text1"/>
                <w:sz w:val="24"/>
                <w:szCs w:val="24"/>
              </w:rPr>
              <w:t>Membrii comisiei de experți evaluatori</w:t>
            </w:r>
          </w:p>
          <w:p w14:paraId="45AFD053" w14:textId="77777777" w:rsidR="009A6072" w:rsidRPr="00927C0B" w:rsidRDefault="009A6072" w:rsidP="009A6072">
            <w:pPr>
              <w:spacing w:after="0"/>
              <w:jc w:val="center"/>
              <w:rPr>
                <w:rFonts w:cs="Calibri"/>
                <w:color w:val="000000" w:themeColor="text1"/>
                <w:sz w:val="24"/>
                <w:szCs w:val="24"/>
              </w:rPr>
            </w:pPr>
            <w:r w:rsidRPr="00927C0B">
              <w:rPr>
                <w:rFonts w:cs="Calibri"/>
                <w:color w:val="000000" w:themeColor="text1"/>
                <w:sz w:val="24"/>
                <w:szCs w:val="24"/>
              </w:rPr>
              <w:t>Reprezentanți ai angajatorilor</w:t>
            </w:r>
          </w:p>
        </w:tc>
        <w:tc>
          <w:tcPr>
            <w:tcW w:w="3241" w:type="dxa"/>
            <w:vAlign w:val="center"/>
          </w:tcPr>
          <w:p w14:paraId="04D7E157" w14:textId="77777777" w:rsidR="009A6072" w:rsidRPr="00927C0B" w:rsidRDefault="009A6072" w:rsidP="009A6072">
            <w:pPr>
              <w:spacing w:after="0"/>
              <w:jc w:val="center"/>
              <w:rPr>
                <w:rFonts w:cs="Calibri"/>
                <w:color w:val="000000" w:themeColor="text1"/>
                <w:sz w:val="24"/>
                <w:szCs w:val="24"/>
              </w:rPr>
            </w:pPr>
          </w:p>
        </w:tc>
      </w:tr>
      <w:tr w:rsidR="009A6072" w:rsidRPr="00927C0B" w14:paraId="3F8FE09E" w14:textId="77777777" w:rsidTr="009A6072">
        <w:trPr>
          <w:cantSplit/>
          <w:jc w:val="center"/>
        </w:trPr>
        <w:tc>
          <w:tcPr>
            <w:tcW w:w="3964" w:type="dxa"/>
            <w:vAlign w:val="center"/>
          </w:tcPr>
          <w:p w14:paraId="4CED4130" w14:textId="77777777" w:rsidR="009A6072" w:rsidRPr="00927C0B" w:rsidRDefault="009A6072" w:rsidP="009A6072">
            <w:pPr>
              <w:spacing w:after="0"/>
              <w:jc w:val="center"/>
              <w:rPr>
                <w:rFonts w:cs="Calibri"/>
                <w:color w:val="000000" w:themeColor="text1"/>
                <w:sz w:val="24"/>
                <w:szCs w:val="24"/>
              </w:rPr>
            </w:pPr>
            <w:r w:rsidRPr="00927C0B">
              <w:rPr>
                <w:rFonts w:cs="Calibri"/>
                <w:color w:val="000000" w:themeColor="text1"/>
                <w:sz w:val="24"/>
                <w:szCs w:val="24"/>
              </w:rPr>
              <w:t>Întâlnirea comisiei de experți evaluatori cu absolvenți doctori din domeniul de studii universitare de doctorat evaluat – absolvenții pot participa și online la întâlnire, utilizând mecanisme de comunicare audio-video</w:t>
            </w:r>
          </w:p>
        </w:tc>
        <w:tc>
          <w:tcPr>
            <w:tcW w:w="2694" w:type="dxa"/>
            <w:vAlign w:val="center"/>
          </w:tcPr>
          <w:p w14:paraId="44EAA3B5" w14:textId="77777777" w:rsidR="009A6072" w:rsidRPr="00927C0B" w:rsidRDefault="009A6072" w:rsidP="009A6072">
            <w:pPr>
              <w:spacing w:after="0"/>
              <w:jc w:val="center"/>
              <w:rPr>
                <w:rFonts w:cs="Calibri"/>
                <w:color w:val="000000" w:themeColor="text1"/>
                <w:sz w:val="24"/>
                <w:szCs w:val="24"/>
              </w:rPr>
            </w:pPr>
            <w:r w:rsidRPr="00927C0B">
              <w:rPr>
                <w:rFonts w:cs="Calibri"/>
                <w:color w:val="000000" w:themeColor="text1"/>
                <w:sz w:val="24"/>
                <w:szCs w:val="24"/>
              </w:rPr>
              <w:t>Membrii comisiei de experți evaluatori</w:t>
            </w:r>
          </w:p>
          <w:p w14:paraId="7897255A" w14:textId="77777777" w:rsidR="009A6072" w:rsidRPr="00927C0B" w:rsidRDefault="009A6072" w:rsidP="009A6072">
            <w:pPr>
              <w:spacing w:after="0"/>
              <w:jc w:val="center"/>
              <w:rPr>
                <w:rFonts w:cs="Calibri"/>
                <w:color w:val="000000" w:themeColor="text1"/>
                <w:sz w:val="24"/>
                <w:szCs w:val="24"/>
              </w:rPr>
            </w:pPr>
            <w:r w:rsidRPr="00927C0B">
              <w:rPr>
                <w:rFonts w:cs="Calibri"/>
                <w:color w:val="000000" w:themeColor="text1"/>
                <w:sz w:val="24"/>
                <w:szCs w:val="24"/>
              </w:rPr>
              <w:t>Absolvenți cu titlu de doctor</w:t>
            </w:r>
          </w:p>
        </w:tc>
        <w:tc>
          <w:tcPr>
            <w:tcW w:w="3241" w:type="dxa"/>
            <w:vAlign w:val="center"/>
          </w:tcPr>
          <w:p w14:paraId="5980DC4A" w14:textId="77777777" w:rsidR="009A6072" w:rsidRPr="00927C0B" w:rsidRDefault="009A6072" w:rsidP="009A6072">
            <w:pPr>
              <w:spacing w:after="0"/>
              <w:jc w:val="center"/>
              <w:rPr>
                <w:rFonts w:cs="Calibri"/>
                <w:color w:val="000000" w:themeColor="text1"/>
                <w:sz w:val="24"/>
                <w:szCs w:val="24"/>
              </w:rPr>
            </w:pPr>
          </w:p>
        </w:tc>
      </w:tr>
      <w:tr w:rsidR="009A6072" w:rsidRPr="00927C0B" w14:paraId="22C37BBB" w14:textId="77777777" w:rsidTr="009A6072">
        <w:trPr>
          <w:cantSplit/>
          <w:jc w:val="center"/>
        </w:trPr>
        <w:tc>
          <w:tcPr>
            <w:tcW w:w="3964" w:type="dxa"/>
            <w:vAlign w:val="center"/>
          </w:tcPr>
          <w:p w14:paraId="0F26BF6A" w14:textId="77777777" w:rsidR="009A6072" w:rsidRPr="00927C0B" w:rsidRDefault="009A6072" w:rsidP="009A6072">
            <w:pPr>
              <w:spacing w:after="0"/>
              <w:jc w:val="center"/>
              <w:rPr>
                <w:rFonts w:cs="Calibri"/>
                <w:color w:val="000000" w:themeColor="text1"/>
                <w:sz w:val="24"/>
                <w:szCs w:val="24"/>
              </w:rPr>
            </w:pPr>
            <w:r w:rsidRPr="00927C0B">
              <w:rPr>
                <w:rFonts w:cs="Calibri"/>
                <w:color w:val="000000" w:themeColor="text1"/>
                <w:sz w:val="24"/>
                <w:szCs w:val="24"/>
              </w:rPr>
              <w:t>Întâlnirea comisiei de experți evaluatori cu studenți doctoranzi din domeniul de studii universitare de doctorat evaluat</w:t>
            </w:r>
          </w:p>
        </w:tc>
        <w:tc>
          <w:tcPr>
            <w:tcW w:w="2694" w:type="dxa"/>
            <w:vAlign w:val="center"/>
          </w:tcPr>
          <w:p w14:paraId="5C89EE58" w14:textId="77777777" w:rsidR="009A6072" w:rsidRPr="00927C0B" w:rsidRDefault="009A6072" w:rsidP="009A6072">
            <w:pPr>
              <w:spacing w:after="0"/>
              <w:jc w:val="center"/>
              <w:rPr>
                <w:rFonts w:cs="Calibri"/>
                <w:color w:val="000000" w:themeColor="text1"/>
                <w:sz w:val="24"/>
                <w:szCs w:val="24"/>
              </w:rPr>
            </w:pPr>
            <w:r w:rsidRPr="00927C0B">
              <w:rPr>
                <w:rFonts w:cs="Calibri"/>
                <w:color w:val="000000" w:themeColor="text1"/>
                <w:sz w:val="24"/>
                <w:szCs w:val="24"/>
              </w:rPr>
              <w:t>Membrii comisiei de experți evaluatori</w:t>
            </w:r>
          </w:p>
          <w:p w14:paraId="32897F96" w14:textId="77777777" w:rsidR="009A6072" w:rsidRPr="00927C0B" w:rsidRDefault="009A6072" w:rsidP="009A6072">
            <w:pPr>
              <w:spacing w:after="0"/>
              <w:jc w:val="center"/>
              <w:rPr>
                <w:rFonts w:cs="Calibri"/>
                <w:color w:val="000000" w:themeColor="text1"/>
                <w:sz w:val="24"/>
                <w:szCs w:val="24"/>
              </w:rPr>
            </w:pPr>
            <w:r w:rsidRPr="00927C0B">
              <w:rPr>
                <w:rFonts w:cs="Calibri"/>
                <w:color w:val="000000" w:themeColor="text1"/>
                <w:sz w:val="24"/>
                <w:szCs w:val="24"/>
              </w:rPr>
              <w:t>Studenți doctoranzi</w:t>
            </w:r>
          </w:p>
        </w:tc>
        <w:tc>
          <w:tcPr>
            <w:tcW w:w="3241" w:type="dxa"/>
            <w:vAlign w:val="center"/>
          </w:tcPr>
          <w:p w14:paraId="5FF05A42" w14:textId="77777777" w:rsidR="009A6072" w:rsidRPr="00927C0B" w:rsidRDefault="009A6072" w:rsidP="009A6072">
            <w:pPr>
              <w:spacing w:after="0"/>
              <w:jc w:val="center"/>
              <w:rPr>
                <w:rFonts w:cs="Calibri"/>
                <w:color w:val="000000" w:themeColor="text1"/>
                <w:sz w:val="24"/>
                <w:szCs w:val="24"/>
              </w:rPr>
            </w:pPr>
          </w:p>
        </w:tc>
      </w:tr>
      <w:tr w:rsidR="002F1EA4" w:rsidRPr="00927C0B" w14:paraId="4D5FBFC5" w14:textId="77777777" w:rsidTr="009A6072">
        <w:trPr>
          <w:cantSplit/>
          <w:jc w:val="center"/>
        </w:trPr>
        <w:tc>
          <w:tcPr>
            <w:tcW w:w="3964" w:type="dxa"/>
            <w:vAlign w:val="center"/>
          </w:tcPr>
          <w:p w14:paraId="6673B878" w14:textId="77777777" w:rsidR="002F1EA4" w:rsidRPr="00927C0B" w:rsidRDefault="002F1EA4" w:rsidP="005E4018">
            <w:pPr>
              <w:spacing w:after="0"/>
              <w:jc w:val="center"/>
              <w:outlineLvl w:val="0"/>
              <w:rPr>
                <w:rFonts w:cs="Calibri"/>
                <w:b/>
                <w:color w:val="000000" w:themeColor="text1"/>
                <w:sz w:val="24"/>
                <w:szCs w:val="24"/>
              </w:rPr>
            </w:pPr>
            <w:r w:rsidRPr="00927C0B">
              <w:rPr>
                <w:rFonts w:cs="Calibri"/>
                <w:color w:val="000000" w:themeColor="text1"/>
                <w:sz w:val="24"/>
                <w:szCs w:val="24"/>
              </w:rPr>
              <w:t>Întâlnirea membrilor comisiei de experți evaluatori cu responsabilul domeniului de studii universitare de doctorat evaluat</w:t>
            </w:r>
          </w:p>
        </w:tc>
        <w:tc>
          <w:tcPr>
            <w:tcW w:w="2694" w:type="dxa"/>
            <w:vAlign w:val="center"/>
          </w:tcPr>
          <w:p w14:paraId="0078B9F3" w14:textId="553EF76E" w:rsidR="002F1EA4" w:rsidRPr="00927C0B" w:rsidRDefault="002F1EA4" w:rsidP="005E4018">
            <w:pPr>
              <w:spacing w:after="0"/>
              <w:jc w:val="center"/>
              <w:outlineLvl w:val="0"/>
              <w:rPr>
                <w:rFonts w:cs="Calibri"/>
                <w:color w:val="000000" w:themeColor="text1"/>
                <w:sz w:val="24"/>
                <w:szCs w:val="24"/>
              </w:rPr>
            </w:pPr>
            <w:r w:rsidRPr="00927C0B">
              <w:rPr>
                <w:rFonts w:cs="Calibri"/>
                <w:color w:val="000000" w:themeColor="text1"/>
                <w:sz w:val="24"/>
                <w:szCs w:val="24"/>
              </w:rPr>
              <w:t>Membrii comisiei de experți evaluatori Reprezentanți</w:t>
            </w:r>
            <w:r w:rsidR="00697D3A">
              <w:rPr>
                <w:rFonts w:cs="Calibri"/>
                <w:color w:val="000000" w:themeColor="text1"/>
                <w:sz w:val="24"/>
                <w:szCs w:val="24"/>
              </w:rPr>
              <w:t xml:space="preserve"> ai</w:t>
            </w:r>
            <w:r w:rsidRPr="00927C0B">
              <w:rPr>
                <w:rFonts w:cs="Calibri"/>
                <w:color w:val="000000" w:themeColor="text1"/>
                <w:sz w:val="24"/>
                <w:szCs w:val="24"/>
              </w:rPr>
              <w:t xml:space="preserve"> instituției evaluate</w:t>
            </w:r>
          </w:p>
        </w:tc>
        <w:tc>
          <w:tcPr>
            <w:tcW w:w="3241" w:type="dxa"/>
            <w:vAlign w:val="center"/>
          </w:tcPr>
          <w:p w14:paraId="32825766" w14:textId="77777777" w:rsidR="002F1EA4" w:rsidRPr="00927C0B" w:rsidRDefault="002F1EA4" w:rsidP="005E4018">
            <w:pPr>
              <w:spacing w:after="0"/>
              <w:jc w:val="center"/>
              <w:outlineLvl w:val="0"/>
              <w:rPr>
                <w:rFonts w:cs="Calibri"/>
                <w:color w:val="000000" w:themeColor="text1"/>
                <w:sz w:val="24"/>
                <w:szCs w:val="24"/>
              </w:rPr>
            </w:pPr>
            <w:r w:rsidRPr="00927C0B">
              <w:rPr>
                <w:rFonts w:cs="Calibri"/>
                <w:color w:val="000000" w:themeColor="text1"/>
                <w:sz w:val="24"/>
                <w:szCs w:val="24"/>
              </w:rPr>
              <w:t>Clarificarea eventualelor întrebări apărute pe parcursul efectuării vizitei.</w:t>
            </w:r>
          </w:p>
        </w:tc>
      </w:tr>
      <w:tr w:rsidR="002F1EA4" w:rsidRPr="00927C0B" w14:paraId="58111E1D" w14:textId="77777777" w:rsidTr="009A6072">
        <w:trPr>
          <w:cantSplit/>
          <w:jc w:val="center"/>
        </w:trPr>
        <w:tc>
          <w:tcPr>
            <w:tcW w:w="3964" w:type="dxa"/>
            <w:vAlign w:val="center"/>
          </w:tcPr>
          <w:p w14:paraId="2EB995B2" w14:textId="74204724" w:rsidR="002F1EA4" w:rsidRPr="00927C0B" w:rsidRDefault="002F1EA4" w:rsidP="005E4018">
            <w:pPr>
              <w:spacing w:after="0"/>
              <w:jc w:val="center"/>
              <w:outlineLvl w:val="0"/>
              <w:rPr>
                <w:rFonts w:cs="Calibri"/>
                <w:color w:val="000000" w:themeColor="text1"/>
                <w:sz w:val="24"/>
                <w:szCs w:val="24"/>
              </w:rPr>
            </w:pPr>
            <w:r w:rsidRPr="00927C0B">
              <w:rPr>
                <w:rFonts w:cs="Calibri"/>
                <w:color w:val="000000" w:themeColor="text1"/>
                <w:sz w:val="24"/>
                <w:szCs w:val="24"/>
              </w:rPr>
              <w:t xml:space="preserve">Întâlnire cu Comisia pentru Evaluarea și Asigurarea Calității (CEAC) / </w:t>
            </w:r>
            <w:r w:rsidR="00697D3A">
              <w:rPr>
                <w:rFonts w:cs="Calibri"/>
                <w:color w:val="000000" w:themeColor="text1"/>
                <w:sz w:val="24"/>
                <w:szCs w:val="24"/>
              </w:rPr>
              <w:t>D</w:t>
            </w:r>
            <w:r w:rsidRPr="00927C0B">
              <w:rPr>
                <w:rFonts w:cs="Calibri"/>
                <w:color w:val="000000" w:themeColor="text1"/>
                <w:sz w:val="24"/>
                <w:szCs w:val="24"/>
              </w:rPr>
              <w:t xml:space="preserve">epartamentul de </w:t>
            </w:r>
            <w:r w:rsidR="00697D3A">
              <w:rPr>
                <w:rFonts w:cs="Calibri"/>
                <w:color w:val="000000" w:themeColor="text1"/>
                <w:sz w:val="24"/>
                <w:szCs w:val="24"/>
              </w:rPr>
              <w:t xml:space="preserve">asigurare a </w:t>
            </w:r>
            <w:r w:rsidRPr="00927C0B">
              <w:rPr>
                <w:rFonts w:cs="Calibri"/>
                <w:color w:val="000000" w:themeColor="text1"/>
                <w:sz w:val="24"/>
                <w:szCs w:val="24"/>
              </w:rPr>
              <w:t>calității</w:t>
            </w:r>
          </w:p>
        </w:tc>
        <w:tc>
          <w:tcPr>
            <w:tcW w:w="2694" w:type="dxa"/>
            <w:vAlign w:val="center"/>
          </w:tcPr>
          <w:p w14:paraId="20B091B4" w14:textId="77777777" w:rsidR="002F1EA4" w:rsidRPr="00927C0B" w:rsidRDefault="002F1EA4" w:rsidP="005E4018">
            <w:pPr>
              <w:spacing w:after="0"/>
              <w:jc w:val="center"/>
              <w:rPr>
                <w:rFonts w:cs="Calibri"/>
                <w:color w:val="000000" w:themeColor="text1"/>
                <w:sz w:val="24"/>
                <w:szCs w:val="24"/>
              </w:rPr>
            </w:pPr>
            <w:r w:rsidRPr="00927C0B">
              <w:rPr>
                <w:rFonts w:cs="Calibri"/>
                <w:color w:val="000000" w:themeColor="text1"/>
                <w:sz w:val="24"/>
                <w:szCs w:val="24"/>
              </w:rPr>
              <w:t>Membrii comisiei de experți evaluatori</w:t>
            </w:r>
          </w:p>
          <w:p w14:paraId="30D2572C" w14:textId="1E58F17D" w:rsidR="002F1EA4" w:rsidRPr="00927C0B" w:rsidRDefault="002F1EA4" w:rsidP="005E4018">
            <w:pPr>
              <w:spacing w:after="0"/>
              <w:jc w:val="center"/>
              <w:rPr>
                <w:rFonts w:cs="Calibri"/>
                <w:color w:val="000000" w:themeColor="text1"/>
                <w:sz w:val="24"/>
                <w:szCs w:val="24"/>
              </w:rPr>
            </w:pPr>
            <w:r w:rsidRPr="00927C0B">
              <w:rPr>
                <w:rFonts w:cs="Calibri"/>
                <w:color w:val="000000" w:themeColor="text1"/>
                <w:sz w:val="24"/>
                <w:szCs w:val="24"/>
              </w:rPr>
              <w:t>Reprezentanți</w:t>
            </w:r>
            <w:r w:rsidR="00697D3A">
              <w:rPr>
                <w:rFonts w:cs="Calibri"/>
                <w:color w:val="000000" w:themeColor="text1"/>
                <w:sz w:val="24"/>
                <w:szCs w:val="24"/>
              </w:rPr>
              <w:t xml:space="preserve"> ai</w:t>
            </w:r>
            <w:r w:rsidRPr="00927C0B">
              <w:rPr>
                <w:rFonts w:cs="Calibri"/>
                <w:color w:val="000000" w:themeColor="text1"/>
                <w:sz w:val="24"/>
                <w:szCs w:val="24"/>
              </w:rPr>
              <w:t xml:space="preserve"> instituției evaluate</w:t>
            </w:r>
          </w:p>
        </w:tc>
        <w:tc>
          <w:tcPr>
            <w:tcW w:w="3241" w:type="dxa"/>
            <w:vAlign w:val="center"/>
          </w:tcPr>
          <w:p w14:paraId="1066EFFB" w14:textId="77777777" w:rsidR="002F1EA4" w:rsidRPr="00927C0B" w:rsidRDefault="002F1EA4" w:rsidP="005E4018">
            <w:pPr>
              <w:spacing w:after="0"/>
              <w:jc w:val="center"/>
              <w:outlineLvl w:val="0"/>
              <w:rPr>
                <w:rFonts w:cs="Calibri"/>
                <w:color w:val="000000" w:themeColor="text1"/>
                <w:sz w:val="24"/>
                <w:szCs w:val="24"/>
              </w:rPr>
            </w:pPr>
            <w:r w:rsidRPr="00927C0B">
              <w:rPr>
                <w:rFonts w:cs="Calibri"/>
                <w:color w:val="000000" w:themeColor="text1"/>
                <w:sz w:val="24"/>
                <w:szCs w:val="24"/>
              </w:rPr>
              <w:t>Înțelegerea funcționării sistemului de asigurare internă a calității și a proceselor aferente.</w:t>
            </w:r>
          </w:p>
        </w:tc>
      </w:tr>
      <w:tr w:rsidR="002F1EA4" w:rsidRPr="00927C0B" w14:paraId="6622FB03" w14:textId="77777777" w:rsidTr="009A6072">
        <w:trPr>
          <w:cantSplit/>
          <w:jc w:val="center"/>
        </w:trPr>
        <w:tc>
          <w:tcPr>
            <w:tcW w:w="3964" w:type="dxa"/>
            <w:vAlign w:val="center"/>
          </w:tcPr>
          <w:p w14:paraId="33B8BD63" w14:textId="77777777" w:rsidR="002F1EA4" w:rsidRPr="00927C0B" w:rsidRDefault="002F1EA4" w:rsidP="005E4018">
            <w:pPr>
              <w:spacing w:after="0"/>
              <w:jc w:val="center"/>
              <w:rPr>
                <w:rFonts w:cs="Calibri"/>
                <w:color w:val="000000" w:themeColor="text1"/>
                <w:sz w:val="24"/>
                <w:szCs w:val="24"/>
              </w:rPr>
            </w:pPr>
            <w:r w:rsidRPr="00927C0B">
              <w:rPr>
                <w:rFonts w:cs="Calibri"/>
                <w:color w:val="000000" w:themeColor="text1"/>
                <w:sz w:val="24"/>
                <w:szCs w:val="24"/>
              </w:rPr>
              <w:t>Întâlnire cu membrii Consiliului școlii doctorale/școlilor doctorale în cadrul cărora funcționează domeniul evaluat</w:t>
            </w:r>
          </w:p>
        </w:tc>
        <w:tc>
          <w:tcPr>
            <w:tcW w:w="2694" w:type="dxa"/>
            <w:vAlign w:val="center"/>
          </w:tcPr>
          <w:p w14:paraId="51464852" w14:textId="77777777" w:rsidR="002F1EA4" w:rsidRPr="00927C0B" w:rsidRDefault="002F1EA4" w:rsidP="005E4018">
            <w:pPr>
              <w:spacing w:after="0"/>
              <w:jc w:val="center"/>
              <w:rPr>
                <w:rFonts w:cs="Calibri"/>
                <w:color w:val="000000" w:themeColor="text1"/>
                <w:sz w:val="24"/>
                <w:szCs w:val="24"/>
              </w:rPr>
            </w:pPr>
            <w:r w:rsidRPr="00927C0B">
              <w:rPr>
                <w:rFonts w:cs="Calibri"/>
                <w:color w:val="000000" w:themeColor="text1"/>
                <w:sz w:val="24"/>
                <w:szCs w:val="24"/>
              </w:rPr>
              <w:t>Membrii comisiei de experți evaluatori</w:t>
            </w:r>
          </w:p>
          <w:p w14:paraId="105144F6" w14:textId="77777777" w:rsidR="002F1EA4" w:rsidRPr="00927C0B" w:rsidRDefault="002F1EA4" w:rsidP="005E4018">
            <w:pPr>
              <w:spacing w:after="0"/>
              <w:jc w:val="center"/>
              <w:rPr>
                <w:rFonts w:cs="Calibri"/>
                <w:color w:val="000000" w:themeColor="text1"/>
                <w:sz w:val="24"/>
                <w:szCs w:val="24"/>
              </w:rPr>
            </w:pPr>
            <w:r w:rsidRPr="00927C0B">
              <w:rPr>
                <w:rFonts w:cs="Calibri"/>
                <w:color w:val="000000" w:themeColor="text1"/>
                <w:sz w:val="24"/>
                <w:szCs w:val="24"/>
              </w:rPr>
              <w:t>Membrii CSD</w:t>
            </w:r>
          </w:p>
        </w:tc>
        <w:tc>
          <w:tcPr>
            <w:tcW w:w="3241" w:type="dxa"/>
            <w:vAlign w:val="center"/>
          </w:tcPr>
          <w:p w14:paraId="18CF5CAC" w14:textId="77777777" w:rsidR="002F1EA4" w:rsidRPr="00927C0B" w:rsidRDefault="002F1EA4" w:rsidP="005E4018">
            <w:pPr>
              <w:spacing w:after="0"/>
              <w:jc w:val="center"/>
              <w:rPr>
                <w:rFonts w:cs="Calibri"/>
                <w:color w:val="000000" w:themeColor="text1"/>
                <w:sz w:val="24"/>
                <w:szCs w:val="24"/>
              </w:rPr>
            </w:pPr>
          </w:p>
        </w:tc>
      </w:tr>
      <w:tr w:rsidR="002F1EA4" w:rsidRPr="00927C0B" w14:paraId="42081F62" w14:textId="77777777" w:rsidTr="009A6072">
        <w:trPr>
          <w:cantSplit/>
          <w:jc w:val="center"/>
        </w:trPr>
        <w:tc>
          <w:tcPr>
            <w:tcW w:w="3964" w:type="dxa"/>
            <w:vAlign w:val="center"/>
          </w:tcPr>
          <w:p w14:paraId="47FEF275" w14:textId="77777777" w:rsidR="002F1EA4" w:rsidRPr="00927C0B" w:rsidRDefault="002F1EA4" w:rsidP="005E4018">
            <w:pPr>
              <w:spacing w:after="0"/>
              <w:jc w:val="center"/>
              <w:rPr>
                <w:rFonts w:cs="Calibri"/>
                <w:color w:val="000000" w:themeColor="text1"/>
                <w:sz w:val="24"/>
                <w:szCs w:val="24"/>
              </w:rPr>
            </w:pPr>
            <w:r w:rsidRPr="00927C0B">
              <w:rPr>
                <w:rFonts w:cs="Calibri"/>
                <w:color w:val="000000" w:themeColor="text1"/>
                <w:sz w:val="24"/>
                <w:szCs w:val="24"/>
              </w:rPr>
              <w:t>Întâlnire cu membrii Comisiei de Etică a IOSUD</w:t>
            </w:r>
          </w:p>
        </w:tc>
        <w:tc>
          <w:tcPr>
            <w:tcW w:w="2694" w:type="dxa"/>
            <w:vAlign w:val="center"/>
          </w:tcPr>
          <w:p w14:paraId="1AA848AD" w14:textId="77777777" w:rsidR="002F1EA4" w:rsidRPr="00927C0B" w:rsidRDefault="002F1EA4" w:rsidP="005E4018">
            <w:pPr>
              <w:spacing w:after="0"/>
              <w:jc w:val="center"/>
              <w:rPr>
                <w:rFonts w:cs="Calibri"/>
                <w:color w:val="000000" w:themeColor="text1"/>
                <w:sz w:val="24"/>
                <w:szCs w:val="24"/>
              </w:rPr>
            </w:pPr>
            <w:r w:rsidRPr="00927C0B">
              <w:rPr>
                <w:rFonts w:cs="Calibri"/>
                <w:color w:val="000000" w:themeColor="text1"/>
                <w:sz w:val="24"/>
                <w:szCs w:val="24"/>
              </w:rPr>
              <w:t>Membrii comisiei de experți evaluatori</w:t>
            </w:r>
          </w:p>
          <w:p w14:paraId="44F8C3FA" w14:textId="77777777" w:rsidR="002F1EA4" w:rsidRPr="00927C0B" w:rsidRDefault="002F1EA4" w:rsidP="005E4018">
            <w:pPr>
              <w:spacing w:after="0"/>
              <w:jc w:val="center"/>
              <w:rPr>
                <w:rFonts w:cs="Calibri"/>
                <w:color w:val="000000" w:themeColor="text1"/>
                <w:sz w:val="24"/>
                <w:szCs w:val="24"/>
              </w:rPr>
            </w:pPr>
            <w:r w:rsidRPr="00927C0B">
              <w:rPr>
                <w:rFonts w:cs="Calibri"/>
                <w:color w:val="000000" w:themeColor="text1"/>
                <w:sz w:val="24"/>
                <w:szCs w:val="24"/>
              </w:rPr>
              <w:t>Membrii Comisiei de Etică</w:t>
            </w:r>
          </w:p>
        </w:tc>
        <w:tc>
          <w:tcPr>
            <w:tcW w:w="3241" w:type="dxa"/>
            <w:vAlign w:val="center"/>
          </w:tcPr>
          <w:p w14:paraId="16833154" w14:textId="77777777" w:rsidR="002F1EA4" w:rsidRPr="00927C0B" w:rsidRDefault="002F1EA4" w:rsidP="005E4018">
            <w:pPr>
              <w:spacing w:after="0"/>
              <w:jc w:val="center"/>
              <w:rPr>
                <w:rFonts w:cs="Calibri"/>
                <w:color w:val="000000" w:themeColor="text1"/>
                <w:sz w:val="24"/>
                <w:szCs w:val="24"/>
              </w:rPr>
            </w:pPr>
          </w:p>
        </w:tc>
      </w:tr>
      <w:tr w:rsidR="002F1EA4" w:rsidRPr="00927C0B" w14:paraId="334BD3F2" w14:textId="77777777" w:rsidTr="009A6072">
        <w:trPr>
          <w:cantSplit/>
          <w:trHeight w:val="435"/>
          <w:jc w:val="center"/>
        </w:trPr>
        <w:tc>
          <w:tcPr>
            <w:tcW w:w="3964" w:type="dxa"/>
            <w:vAlign w:val="center"/>
          </w:tcPr>
          <w:p w14:paraId="3B1D0BAD" w14:textId="77777777" w:rsidR="002F1EA4" w:rsidRPr="00927C0B" w:rsidRDefault="002F1EA4" w:rsidP="005E4018">
            <w:pPr>
              <w:widowControl w:val="0"/>
              <w:autoSpaceDE w:val="0"/>
              <w:autoSpaceDN w:val="0"/>
              <w:adjustRightInd w:val="0"/>
              <w:spacing w:after="0"/>
              <w:jc w:val="center"/>
              <w:rPr>
                <w:rFonts w:cs="Calibri"/>
                <w:color w:val="000000" w:themeColor="text1"/>
                <w:sz w:val="24"/>
                <w:szCs w:val="24"/>
              </w:rPr>
            </w:pPr>
            <w:r w:rsidRPr="00927C0B">
              <w:rPr>
                <w:rFonts w:cs="Calibri"/>
                <w:color w:val="000000" w:themeColor="text1"/>
                <w:sz w:val="24"/>
                <w:szCs w:val="24"/>
              </w:rPr>
              <w:lastRenderedPageBreak/>
              <w:t>Întâlnire cu directorii/responsabilii centrelor/laboratoarelor de cercetare a</w:t>
            </w:r>
            <w:r>
              <w:rPr>
                <w:rFonts w:cs="Calibri"/>
                <w:color w:val="000000" w:themeColor="text1"/>
                <w:sz w:val="24"/>
                <w:szCs w:val="24"/>
              </w:rPr>
              <w:t>le</w:t>
            </w:r>
            <w:r w:rsidRPr="00927C0B">
              <w:rPr>
                <w:rFonts w:cs="Calibri"/>
                <w:color w:val="000000" w:themeColor="text1"/>
                <w:sz w:val="24"/>
                <w:szCs w:val="24"/>
              </w:rPr>
              <w:t xml:space="preserve"> domeniului de studii universitare de doctorat evaluat</w:t>
            </w:r>
          </w:p>
        </w:tc>
        <w:tc>
          <w:tcPr>
            <w:tcW w:w="2694" w:type="dxa"/>
            <w:vAlign w:val="center"/>
          </w:tcPr>
          <w:p w14:paraId="6455B859" w14:textId="77777777" w:rsidR="002F1EA4" w:rsidRPr="00927C0B" w:rsidRDefault="002F1EA4" w:rsidP="005E4018">
            <w:pPr>
              <w:widowControl w:val="0"/>
              <w:autoSpaceDE w:val="0"/>
              <w:autoSpaceDN w:val="0"/>
              <w:adjustRightInd w:val="0"/>
              <w:spacing w:after="0"/>
              <w:jc w:val="center"/>
              <w:rPr>
                <w:rFonts w:cs="Calibri"/>
                <w:color w:val="000000" w:themeColor="text1"/>
                <w:sz w:val="24"/>
                <w:szCs w:val="24"/>
              </w:rPr>
            </w:pPr>
            <w:r w:rsidRPr="00927C0B">
              <w:rPr>
                <w:rFonts w:cs="Calibri"/>
                <w:color w:val="000000" w:themeColor="text1"/>
                <w:sz w:val="24"/>
                <w:szCs w:val="24"/>
              </w:rPr>
              <w:t>Membrii comisiei de experți evaluatori</w:t>
            </w:r>
          </w:p>
          <w:p w14:paraId="478E19A1" w14:textId="77777777" w:rsidR="002F1EA4" w:rsidRPr="00927C0B" w:rsidRDefault="002F1EA4" w:rsidP="005E4018">
            <w:pPr>
              <w:widowControl w:val="0"/>
              <w:autoSpaceDE w:val="0"/>
              <w:autoSpaceDN w:val="0"/>
              <w:adjustRightInd w:val="0"/>
              <w:spacing w:after="0"/>
              <w:jc w:val="center"/>
              <w:rPr>
                <w:rFonts w:cs="Calibri"/>
                <w:color w:val="000000" w:themeColor="text1"/>
                <w:sz w:val="24"/>
                <w:szCs w:val="24"/>
              </w:rPr>
            </w:pPr>
            <w:r w:rsidRPr="00927C0B">
              <w:rPr>
                <w:rFonts w:cs="Calibri"/>
                <w:color w:val="000000" w:themeColor="text1"/>
                <w:sz w:val="24"/>
                <w:szCs w:val="24"/>
              </w:rPr>
              <w:t>Directorii centrelor/laboratoarelor de cercetare</w:t>
            </w:r>
          </w:p>
        </w:tc>
        <w:tc>
          <w:tcPr>
            <w:tcW w:w="3241" w:type="dxa"/>
            <w:vAlign w:val="center"/>
          </w:tcPr>
          <w:p w14:paraId="317A1386" w14:textId="77777777" w:rsidR="002F1EA4" w:rsidRPr="00927C0B" w:rsidRDefault="002F1EA4" w:rsidP="005E4018">
            <w:pPr>
              <w:widowControl w:val="0"/>
              <w:autoSpaceDE w:val="0"/>
              <w:autoSpaceDN w:val="0"/>
              <w:adjustRightInd w:val="0"/>
              <w:spacing w:after="0"/>
              <w:jc w:val="center"/>
              <w:rPr>
                <w:rFonts w:cs="Calibri"/>
                <w:color w:val="FF0000"/>
              </w:rPr>
            </w:pPr>
          </w:p>
        </w:tc>
      </w:tr>
      <w:tr w:rsidR="002F1EA4" w:rsidRPr="00927C0B" w14:paraId="67ED4773" w14:textId="77777777" w:rsidTr="009A6072">
        <w:trPr>
          <w:cantSplit/>
          <w:jc w:val="center"/>
        </w:trPr>
        <w:tc>
          <w:tcPr>
            <w:tcW w:w="3964" w:type="dxa"/>
            <w:vAlign w:val="center"/>
          </w:tcPr>
          <w:p w14:paraId="7F0EC3B3" w14:textId="77777777" w:rsidR="002F1EA4" w:rsidRPr="00927C0B" w:rsidRDefault="002F1EA4" w:rsidP="005E4018">
            <w:pPr>
              <w:spacing w:after="0"/>
              <w:jc w:val="center"/>
              <w:rPr>
                <w:rFonts w:cs="Calibri"/>
                <w:color w:val="000000" w:themeColor="text1"/>
                <w:sz w:val="24"/>
                <w:szCs w:val="24"/>
              </w:rPr>
            </w:pPr>
            <w:r w:rsidRPr="00927C0B">
              <w:rPr>
                <w:rFonts w:cs="Calibri"/>
                <w:color w:val="000000" w:themeColor="text1"/>
                <w:sz w:val="24"/>
                <w:szCs w:val="24"/>
              </w:rPr>
              <w:t xml:space="preserve">Derularea activităților specifice comisiei de experți evaluatori și efectuarea de consemnări în </w:t>
            </w:r>
            <w:proofErr w:type="spellStart"/>
            <w:r>
              <w:rPr>
                <w:rFonts w:cs="Calibri"/>
                <w:color w:val="000000" w:themeColor="text1"/>
                <w:sz w:val="24"/>
                <w:szCs w:val="24"/>
              </w:rPr>
              <w:t>draftul</w:t>
            </w:r>
            <w:proofErr w:type="spellEnd"/>
            <w:r>
              <w:rPr>
                <w:rFonts w:cs="Calibri"/>
                <w:color w:val="000000" w:themeColor="text1"/>
                <w:sz w:val="24"/>
                <w:szCs w:val="24"/>
              </w:rPr>
              <w:t xml:space="preserve"> raportului de evaluare externă.</w:t>
            </w:r>
            <w:r w:rsidRPr="00927C0B">
              <w:rPr>
                <w:rFonts w:cs="Calibri"/>
                <w:color w:val="000000" w:themeColor="text1"/>
                <w:sz w:val="24"/>
                <w:szCs w:val="24"/>
              </w:rPr>
              <w:t xml:space="preserve"> </w:t>
            </w:r>
          </w:p>
          <w:p w14:paraId="7476B398" w14:textId="77777777" w:rsidR="002F1EA4" w:rsidRPr="00927C0B" w:rsidRDefault="002F1EA4" w:rsidP="005E4018">
            <w:pPr>
              <w:spacing w:after="0"/>
              <w:jc w:val="center"/>
              <w:outlineLvl w:val="0"/>
              <w:rPr>
                <w:rFonts w:cs="Calibri"/>
                <w:color w:val="000000" w:themeColor="text1"/>
                <w:sz w:val="24"/>
                <w:szCs w:val="24"/>
              </w:rPr>
            </w:pPr>
            <w:r w:rsidRPr="00927C0B">
              <w:rPr>
                <w:rFonts w:cs="Calibri"/>
                <w:color w:val="000000" w:themeColor="text1"/>
                <w:sz w:val="24"/>
                <w:szCs w:val="24"/>
              </w:rPr>
              <w:t>Dacă se consideră necesare, pot avea loc întâlniri suplimentare cu reprezentanți din Senatul universitar (inclusiv studenți);</w:t>
            </w:r>
          </w:p>
          <w:p w14:paraId="08D4BAF2" w14:textId="2C63ACD1" w:rsidR="002F1EA4" w:rsidRPr="00927C0B" w:rsidRDefault="002F1EA4" w:rsidP="005E4018">
            <w:pPr>
              <w:spacing w:after="0"/>
              <w:jc w:val="center"/>
              <w:outlineLvl w:val="0"/>
              <w:rPr>
                <w:rFonts w:cs="Calibri"/>
                <w:color w:val="000000" w:themeColor="text1"/>
                <w:sz w:val="24"/>
                <w:szCs w:val="24"/>
              </w:rPr>
            </w:pPr>
            <w:r w:rsidRPr="00927C0B">
              <w:rPr>
                <w:rFonts w:cs="Calibri"/>
                <w:color w:val="000000" w:themeColor="text1"/>
                <w:sz w:val="24"/>
                <w:szCs w:val="24"/>
              </w:rPr>
              <w:t xml:space="preserve">- reprezentanții organizației </w:t>
            </w:r>
            <w:r w:rsidR="00697D3A">
              <w:rPr>
                <w:rFonts w:cs="Calibri"/>
                <w:color w:val="000000" w:themeColor="text1"/>
                <w:sz w:val="24"/>
                <w:szCs w:val="24"/>
              </w:rPr>
              <w:t xml:space="preserve">/ organizațiilor </w:t>
            </w:r>
            <w:r w:rsidRPr="00927C0B">
              <w:rPr>
                <w:rFonts w:cs="Calibri"/>
                <w:color w:val="000000" w:themeColor="text1"/>
                <w:sz w:val="24"/>
                <w:szCs w:val="24"/>
              </w:rPr>
              <w:t xml:space="preserve">studențești </w:t>
            </w:r>
            <w:r w:rsidR="00697D3A">
              <w:rPr>
                <w:rFonts w:cs="Calibri"/>
                <w:color w:val="000000" w:themeColor="text1"/>
                <w:sz w:val="24"/>
                <w:szCs w:val="24"/>
              </w:rPr>
              <w:t>din</w:t>
            </w:r>
            <w:bookmarkStart w:id="0" w:name="_GoBack"/>
            <w:bookmarkEnd w:id="0"/>
            <w:r w:rsidRPr="00927C0B">
              <w:rPr>
                <w:rFonts w:cs="Calibri"/>
                <w:color w:val="000000" w:themeColor="text1"/>
                <w:sz w:val="24"/>
                <w:szCs w:val="24"/>
              </w:rPr>
              <w:t xml:space="preserve"> facultate;</w:t>
            </w:r>
          </w:p>
          <w:p w14:paraId="6414789B" w14:textId="77777777" w:rsidR="002F1EA4" w:rsidRPr="00927C0B" w:rsidRDefault="002F1EA4" w:rsidP="005E4018">
            <w:pPr>
              <w:spacing w:after="0"/>
              <w:jc w:val="center"/>
              <w:outlineLvl w:val="0"/>
              <w:rPr>
                <w:rFonts w:cs="Calibri"/>
                <w:color w:val="000000" w:themeColor="text1"/>
                <w:sz w:val="24"/>
                <w:szCs w:val="24"/>
              </w:rPr>
            </w:pPr>
            <w:r w:rsidRPr="00927C0B">
              <w:rPr>
                <w:rFonts w:cs="Calibri"/>
                <w:color w:val="000000" w:themeColor="text1"/>
                <w:sz w:val="24"/>
                <w:szCs w:val="24"/>
              </w:rPr>
              <w:t>- reprezentanți ai Centrului de Consiliere și Orientare în Carieră (CCOC);</w:t>
            </w:r>
          </w:p>
          <w:p w14:paraId="0063AFF9" w14:textId="77777777" w:rsidR="002F1EA4" w:rsidRPr="00927C0B" w:rsidRDefault="002F1EA4" w:rsidP="005E4018">
            <w:pPr>
              <w:spacing w:after="0"/>
              <w:jc w:val="center"/>
              <w:outlineLvl w:val="0"/>
              <w:rPr>
                <w:rFonts w:cs="Calibri"/>
                <w:color w:val="000000" w:themeColor="text1"/>
                <w:sz w:val="24"/>
                <w:szCs w:val="24"/>
              </w:rPr>
            </w:pPr>
            <w:r w:rsidRPr="00927C0B">
              <w:rPr>
                <w:rFonts w:cs="Calibri"/>
                <w:color w:val="000000" w:themeColor="text1"/>
                <w:sz w:val="24"/>
                <w:szCs w:val="24"/>
              </w:rPr>
              <w:t>- reprezentanți ai bibliotecii IOSUD;</w:t>
            </w:r>
          </w:p>
          <w:p w14:paraId="0B6298E2" w14:textId="77777777" w:rsidR="002F1EA4" w:rsidRPr="00927C0B" w:rsidRDefault="002F1EA4" w:rsidP="005E4018">
            <w:pPr>
              <w:spacing w:after="0"/>
              <w:jc w:val="center"/>
              <w:outlineLvl w:val="0"/>
              <w:rPr>
                <w:rFonts w:cs="Calibri"/>
                <w:color w:val="000000" w:themeColor="text1"/>
                <w:sz w:val="24"/>
                <w:szCs w:val="24"/>
              </w:rPr>
            </w:pPr>
            <w:r w:rsidRPr="00927C0B">
              <w:rPr>
                <w:rFonts w:cs="Calibri"/>
                <w:color w:val="000000" w:themeColor="text1"/>
                <w:sz w:val="24"/>
                <w:szCs w:val="24"/>
              </w:rPr>
              <w:t>- reprezentanți ai centrelor/laboratoarelor de cercetare din domeniul școlii doctorale sau din domeniul evaluat;</w:t>
            </w:r>
          </w:p>
          <w:p w14:paraId="608FDD22" w14:textId="77777777" w:rsidR="002F1EA4" w:rsidRPr="00927C0B" w:rsidRDefault="002F1EA4" w:rsidP="005E4018">
            <w:pPr>
              <w:spacing w:after="0"/>
              <w:jc w:val="center"/>
              <w:outlineLvl w:val="0"/>
              <w:rPr>
                <w:rFonts w:cs="Calibri"/>
                <w:color w:val="000000" w:themeColor="text1"/>
                <w:sz w:val="24"/>
                <w:szCs w:val="24"/>
              </w:rPr>
            </w:pPr>
            <w:r w:rsidRPr="00927C0B">
              <w:rPr>
                <w:rFonts w:cs="Calibri"/>
                <w:color w:val="000000" w:themeColor="text1"/>
                <w:sz w:val="24"/>
                <w:szCs w:val="24"/>
              </w:rPr>
              <w:t>- reprezentanți ai direcției cămine-cantine (sau echivalentă).</w:t>
            </w:r>
          </w:p>
          <w:p w14:paraId="0A235110" w14:textId="77777777" w:rsidR="002F1EA4" w:rsidRPr="00927C0B" w:rsidRDefault="002F1EA4" w:rsidP="005E4018">
            <w:pPr>
              <w:spacing w:after="0"/>
              <w:jc w:val="center"/>
              <w:outlineLvl w:val="0"/>
              <w:rPr>
                <w:rFonts w:cs="Calibri"/>
                <w:color w:val="000000" w:themeColor="text1"/>
                <w:sz w:val="24"/>
                <w:szCs w:val="24"/>
              </w:rPr>
            </w:pPr>
            <w:r w:rsidRPr="00927C0B">
              <w:rPr>
                <w:rFonts w:cs="Calibri"/>
                <w:color w:val="000000" w:themeColor="text1"/>
                <w:sz w:val="24"/>
                <w:szCs w:val="24"/>
              </w:rPr>
              <w:t>Pot fi aplicate anumite chestionare studenților doctoranzi din domeniul de studii universitare de doctorat evaluat, ale căror rezultate să fie procesate și interpretate până la finalul vizitei de evaluare.</w:t>
            </w:r>
          </w:p>
          <w:p w14:paraId="07E996B4" w14:textId="77777777" w:rsidR="002F1EA4" w:rsidRPr="00927C0B" w:rsidRDefault="002F1EA4" w:rsidP="005E4018">
            <w:pPr>
              <w:spacing w:after="0"/>
              <w:jc w:val="center"/>
              <w:rPr>
                <w:rFonts w:cs="Calibri"/>
                <w:color w:val="000000" w:themeColor="text1"/>
                <w:sz w:val="24"/>
                <w:szCs w:val="24"/>
              </w:rPr>
            </w:pPr>
            <w:r w:rsidRPr="00927C0B">
              <w:rPr>
                <w:rFonts w:cs="Calibri"/>
                <w:color w:val="000000" w:themeColor="text1"/>
                <w:sz w:val="24"/>
                <w:szCs w:val="24"/>
              </w:rPr>
              <w:t>Se pot verifica documentele de studii prezente la secretariatul IOSUD/școlii doctorale.</w:t>
            </w:r>
          </w:p>
        </w:tc>
        <w:tc>
          <w:tcPr>
            <w:tcW w:w="2694" w:type="dxa"/>
            <w:vAlign w:val="center"/>
          </w:tcPr>
          <w:p w14:paraId="27471A3C" w14:textId="77777777" w:rsidR="002F1EA4" w:rsidRPr="00927C0B" w:rsidRDefault="002F1EA4" w:rsidP="005E4018">
            <w:pPr>
              <w:spacing w:after="0"/>
              <w:jc w:val="center"/>
              <w:rPr>
                <w:rFonts w:cs="Calibri"/>
                <w:color w:val="000000" w:themeColor="text1"/>
                <w:sz w:val="24"/>
                <w:szCs w:val="24"/>
              </w:rPr>
            </w:pPr>
            <w:r w:rsidRPr="00927C0B">
              <w:rPr>
                <w:rFonts w:cs="Calibri"/>
                <w:color w:val="000000" w:themeColor="text1"/>
                <w:sz w:val="24"/>
                <w:szCs w:val="24"/>
              </w:rPr>
              <w:t>Membrii comisiei de experți evaluatori Reprezentanți ai instituției evaluate</w:t>
            </w:r>
          </w:p>
        </w:tc>
        <w:tc>
          <w:tcPr>
            <w:tcW w:w="3241" w:type="dxa"/>
            <w:vAlign w:val="center"/>
          </w:tcPr>
          <w:p w14:paraId="6DC63507" w14:textId="77777777" w:rsidR="002F1EA4" w:rsidRPr="00927C0B" w:rsidRDefault="002F1EA4" w:rsidP="005E4018">
            <w:pPr>
              <w:spacing w:after="0"/>
              <w:jc w:val="center"/>
              <w:rPr>
                <w:rFonts w:cs="Calibri"/>
                <w:color w:val="000000" w:themeColor="text1"/>
                <w:sz w:val="24"/>
                <w:szCs w:val="24"/>
              </w:rPr>
            </w:pPr>
          </w:p>
        </w:tc>
      </w:tr>
      <w:tr w:rsidR="002F1EA4" w:rsidRPr="00927C0B" w14:paraId="0E07A2F7" w14:textId="77777777" w:rsidTr="009A6072">
        <w:trPr>
          <w:cantSplit/>
          <w:jc w:val="center"/>
        </w:trPr>
        <w:tc>
          <w:tcPr>
            <w:tcW w:w="3964" w:type="dxa"/>
            <w:vAlign w:val="center"/>
          </w:tcPr>
          <w:p w14:paraId="0DB649E6" w14:textId="77777777" w:rsidR="002F1EA4" w:rsidRPr="00927C0B" w:rsidRDefault="002F1EA4" w:rsidP="005E4018">
            <w:pPr>
              <w:spacing w:after="0"/>
              <w:jc w:val="center"/>
              <w:outlineLvl w:val="0"/>
              <w:rPr>
                <w:rFonts w:cs="Calibri"/>
                <w:b/>
                <w:color w:val="000000" w:themeColor="text1"/>
                <w:sz w:val="24"/>
                <w:szCs w:val="24"/>
              </w:rPr>
            </w:pPr>
            <w:r w:rsidRPr="00927C0B">
              <w:rPr>
                <w:rFonts w:cs="Calibri"/>
                <w:color w:val="000000" w:themeColor="text1"/>
                <w:sz w:val="24"/>
                <w:szCs w:val="24"/>
              </w:rPr>
              <w:t>Întâlnirea membrilor comisiei de experți evaluatori cu responsabilul domeniului de studii universitare de doctorat evaluat</w:t>
            </w:r>
          </w:p>
        </w:tc>
        <w:tc>
          <w:tcPr>
            <w:tcW w:w="2694" w:type="dxa"/>
            <w:vAlign w:val="center"/>
          </w:tcPr>
          <w:p w14:paraId="253DBF3E" w14:textId="77777777" w:rsidR="002F1EA4" w:rsidRPr="00927C0B" w:rsidRDefault="002F1EA4" w:rsidP="005E4018">
            <w:pPr>
              <w:spacing w:after="0"/>
              <w:jc w:val="center"/>
              <w:outlineLvl w:val="0"/>
              <w:rPr>
                <w:rFonts w:cs="Calibri"/>
                <w:color w:val="000000" w:themeColor="text1"/>
                <w:sz w:val="24"/>
                <w:szCs w:val="24"/>
              </w:rPr>
            </w:pPr>
            <w:r w:rsidRPr="00927C0B">
              <w:rPr>
                <w:rFonts w:cs="Calibri"/>
                <w:color w:val="000000" w:themeColor="text1"/>
                <w:sz w:val="24"/>
                <w:szCs w:val="24"/>
              </w:rPr>
              <w:t>Membrii comisiei de experți evaluatori Reprezentanții instituției evaluate</w:t>
            </w:r>
          </w:p>
        </w:tc>
        <w:tc>
          <w:tcPr>
            <w:tcW w:w="3241" w:type="dxa"/>
            <w:vAlign w:val="center"/>
          </w:tcPr>
          <w:p w14:paraId="4CDE7A53" w14:textId="77777777" w:rsidR="002F1EA4" w:rsidRPr="00927C0B" w:rsidRDefault="002F1EA4" w:rsidP="005E4018">
            <w:pPr>
              <w:spacing w:after="0"/>
              <w:jc w:val="center"/>
              <w:outlineLvl w:val="0"/>
              <w:rPr>
                <w:rFonts w:cs="Calibri"/>
                <w:color w:val="000000" w:themeColor="text1"/>
                <w:sz w:val="24"/>
                <w:szCs w:val="24"/>
              </w:rPr>
            </w:pPr>
            <w:r w:rsidRPr="00927C0B">
              <w:rPr>
                <w:rFonts w:cs="Calibri"/>
                <w:color w:val="000000" w:themeColor="text1"/>
                <w:sz w:val="24"/>
                <w:szCs w:val="24"/>
              </w:rPr>
              <w:t>Clarificarea eventualelor întrebări apărute pe parcursul efectuării vizitei.</w:t>
            </w:r>
          </w:p>
        </w:tc>
      </w:tr>
      <w:tr w:rsidR="002F1EA4" w:rsidRPr="00927C0B" w14:paraId="62CF726A" w14:textId="77777777" w:rsidTr="009A6072">
        <w:trPr>
          <w:cantSplit/>
          <w:jc w:val="center"/>
        </w:trPr>
        <w:tc>
          <w:tcPr>
            <w:tcW w:w="3964" w:type="dxa"/>
            <w:vAlign w:val="center"/>
          </w:tcPr>
          <w:p w14:paraId="600F0522" w14:textId="2E20020B" w:rsidR="002F1EA4" w:rsidRPr="00710D4A" w:rsidRDefault="002F1EA4" w:rsidP="00710D4A">
            <w:pPr>
              <w:spacing w:after="0"/>
              <w:jc w:val="center"/>
              <w:outlineLvl w:val="0"/>
              <w:rPr>
                <w:rFonts w:cs="Calibri"/>
                <w:color w:val="000000" w:themeColor="text1"/>
                <w:sz w:val="24"/>
                <w:szCs w:val="24"/>
              </w:rPr>
            </w:pPr>
            <w:r w:rsidRPr="00927C0B">
              <w:rPr>
                <w:rFonts w:cs="Calibri"/>
                <w:color w:val="000000" w:themeColor="text1"/>
                <w:sz w:val="24"/>
                <w:szCs w:val="24"/>
              </w:rPr>
              <w:lastRenderedPageBreak/>
              <w:t xml:space="preserve">Derularea activității comisiei de experți evaluatori (inclusiv continuarea anumitor activități începute/stabilite în ziua precedentă, analiza documentelor suplimentare puse la dispoziție de reprezentanții instituției supuse evaluării, efectuarea de consemnări în </w:t>
            </w:r>
            <w:proofErr w:type="spellStart"/>
            <w:r>
              <w:rPr>
                <w:rFonts w:cs="Calibri"/>
                <w:color w:val="000000" w:themeColor="text1"/>
                <w:sz w:val="24"/>
                <w:szCs w:val="24"/>
              </w:rPr>
              <w:t>draftul</w:t>
            </w:r>
            <w:proofErr w:type="spellEnd"/>
            <w:r>
              <w:rPr>
                <w:rFonts w:cs="Calibri"/>
                <w:color w:val="000000" w:themeColor="text1"/>
                <w:sz w:val="24"/>
                <w:szCs w:val="24"/>
              </w:rPr>
              <w:t xml:space="preserve"> raportului de evaluare externă</w:t>
            </w:r>
            <w:r w:rsidRPr="00927C0B">
              <w:rPr>
                <w:rFonts w:cs="Calibri"/>
                <w:color w:val="000000" w:themeColor="text1"/>
                <w:sz w:val="24"/>
                <w:szCs w:val="24"/>
              </w:rPr>
              <w:t xml:space="preserve"> sau derularea anumitor întâlniri cu diverși reprezentanți ai instituției supuse evaluării). </w:t>
            </w:r>
          </w:p>
          <w:p w14:paraId="3B44DA6B" w14:textId="77777777" w:rsidR="002F1EA4" w:rsidRPr="00927C0B" w:rsidRDefault="002F1EA4" w:rsidP="005E4018">
            <w:pPr>
              <w:spacing w:after="0"/>
              <w:jc w:val="center"/>
              <w:outlineLvl w:val="0"/>
              <w:rPr>
                <w:rFonts w:cs="Calibri"/>
                <w:color w:val="000000" w:themeColor="text1"/>
                <w:sz w:val="24"/>
                <w:szCs w:val="24"/>
              </w:rPr>
            </w:pPr>
            <w:r w:rsidRPr="00927C0B">
              <w:rPr>
                <w:rFonts w:cs="Calibri"/>
                <w:color w:val="000000" w:themeColor="text1"/>
                <w:sz w:val="24"/>
                <w:szCs w:val="24"/>
              </w:rPr>
              <w:t>Discuții tehnice referitoare la elaborarea raportului sintetic al comisiei de experți evaluatori</w:t>
            </w:r>
          </w:p>
        </w:tc>
        <w:tc>
          <w:tcPr>
            <w:tcW w:w="2694" w:type="dxa"/>
            <w:vAlign w:val="center"/>
          </w:tcPr>
          <w:p w14:paraId="5B7C1861" w14:textId="77777777" w:rsidR="002F1EA4" w:rsidRPr="00927C0B" w:rsidRDefault="002F1EA4" w:rsidP="005E4018">
            <w:pPr>
              <w:spacing w:after="0"/>
              <w:jc w:val="center"/>
              <w:outlineLvl w:val="0"/>
              <w:rPr>
                <w:rFonts w:cs="Calibri"/>
                <w:color w:val="000000" w:themeColor="text1"/>
                <w:sz w:val="24"/>
                <w:szCs w:val="24"/>
              </w:rPr>
            </w:pPr>
            <w:r w:rsidRPr="00927C0B">
              <w:rPr>
                <w:rFonts w:cs="Calibri"/>
                <w:color w:val="000000" w:themeColor="text1"/>
                <w:sz w:val="24"/>
                <w:szCs w:val="24"/>
              </w:rPr>
              <w:t>Membrii comisiei de experți evaluatori Reprezentanți ai instituției evaluate</w:t>
            </w:r>
          </w:p>
        </w:tc>
        <w:tc>
          <w:tcPr>
            <w:tcW w:w="3241" w:type="dxa"/>
            <w:vAlign w:val="center"/>
          </w:tcPr>
          <w:p w14:paraId="42C03574" w14:textId="77777777" w:rsidR="002F1EA4" w:rsidRPr="00927C0B" w:rsidRDefault="002F1EA4" w:rsidP="005E4018">
            <w:pPr>
              <w:spacing w:after="0"/>
              <w:jc w:val="center"/>
              <w:rPr>
                <w:rFonts w:cs="Calibri"/>
                <w:color w:val="000000" w:themeColor="text1"/>
                <w:sz w:val="24"/>
                <w:szCs w:val="24"/>
              </w:rPr>
            </w:pPr>
          </w:p>
        </w:tc>
      </w:tr>
      <w:tr w:rsidR="002F1EA4" w:rsidRPr="00927C0B" w14:paraId="454BB596" w14:textId="77777777" w:rsidTr="009A6072">
        <w:trPr>
          <w:cantSplit/>
          <w:jc w:val="center"/>
        </w:trPr>
        <w:tc>
          <w:tcPr>
            <w:tcW w:w="3964" w:type="dxa"/>
            <w:vAlign w:val="center"/>
          </w:tcPr>
          <w:p w14:paraId="4B652D17" w14:textId="77777777" w:rsidR="002F1EA4" w:rsidRPr="00927C0B" w:rsidRDefault="002F1EA4" w:rsidP="005E4018">
            <w:pPr>
              <w:spacing w:after="0"/>
              <w:jc w:val="center"/>
              <w:outlineLvl w:val="0"/>
              <w:rPr>
                <w:rFonts w:cs="Calibri"/>
                <w:b/>
                <w:color w:val="000000" w:themeColor="text1"/>
                <w:sz w:val="24"/>
                <w:szCs w:val="24"/>
              </w:rPr>
            </w:pPr>
            <w:r w:rsidRPr="00927C0B">
              <w:rPr>
                <w:rFonts w:cs="Calibri"/>
                <w:color w:val="000000" w:themeColor="text1"/>
                <w:sz w:val="24"/>
                <w:szCs w:val="24"/>
              </w:rPr>
              <w:t>Întâlnirea membrilor comisiei de experți evaluatori cu reprezentanții instituției evaluate pentru comunicarea concluziilor procesului de evaluare</w:t>
            </w:r>
          </w:p>
        </w:tc>
        <w:tc>
          <w:tcPr>
            <w:tcW w:w="2694" w:type="dxa"/>
            <w:vAlign w:val="center"/>
          </w:tcPr>
          <w:p w14:paraId="037FAA5E" w14:textId="77777777" w:rsidR="002F1EA4" w:rsidRPr="00927C0B" w:rsidRDefault="002F1EA4" w:rsidP="005E4018">
            <w:pPr>
              <w:spacing w:after="0"/>
              <w:jc w:val="center"/>
              <w:outlineLvl w:val="0"/>
              <w:rPr>
                <w:rFonts w:cs="Calibri"/>
                <w:color w:val="000000" w:themeColor="text1"/>
                <w:sz w:val="24"/>
                <w:szCs w:val="24"/>
              </w:rPr>
            </w:pPr>
            <w:r w:rsidRPr="00927C0B">
              <w:rPr>
                <w:rFonts w:cs="Calibri"/>
                <w:color w:val="000000" w:themeColor="text1"/>
                <w:sz w:val="24"/>
                <w:szCs w:val="24"/>
              </w:rPr>
              <w:t>Membrii comisiei de experți evaluatori Reprezentanți ai instituției evaluate</w:t>
            </w:r>
          </w:p>
        </w:tc>
        <w:tc>
          <w:tcPr>
            <w:tcW w:w="3241" w:type="dxa"/>
            <w:vAlign w:val="center"/>
          </w:tcPr>
          <w:p w14:paraId="53B797E9" w14:textId="77777777" w:rsidR="002F1EA4" w:rsidRPr="00927C0B" w:rsidRDefault="002F1EA4" w:rsidP="005E4018">
            <w:pPr>
              <w:spacing w:after="0"/>
              <w:jc w:val="center"/>
              <w:rPr>
                <w:rFonts w:cs="Calibri"/>
                <w:color w:val="000000" w:themeColor="text1"/>
                <w:sz w:val="24"/>
                <w:szCs w:val="24"/>
              </w:rPr>
            </w:pPr>
            <w:r w:rsidRPr="00927C0B">
              <w:rPr>
                <w:rFonts w:cs="Calibri"/>
                <w:color w:val="000000" w:themeColor="text1"/>
                <w:sz w:val="24"/>
                <w:szCs w:val="24"/>
              </w:rPr>
              <w:t>Se vor prezenta inclusiv punctele slabe identificate și recomandările (preliminare) formulate pentru îmbunătățirea activității</w:t>
            </w:r>
          </w:p>
        </w:tc>
      </w:tr>
    </w:tbl>
    <w:p w14:paraId="04822392" w14:textId="59ABC7E2" w:rsidR="00A17D74" w:rsidRPr="00927C0B" w:rsidRDefault="00A17D74" w:rsidP="005E4018">
      <w:pPr>
        <w:spacing w:after="0"/>
        <w:jc w:val="both"/>
        <w:rPr>
          <w:rFonts w:cs="Calibri"/>
          <w:color w:val="000000" w:themeColor="text1"/>
          <w:sz w:val="24"/>
          <w:szCs w:val="24"/>
        </w:rPr>
      </w:pPr>
      <w:r w:rsidRPr="00927C0B">
        <w:rPr>
          <w:rFonts w:cs="Calibri"/>
          <w:color w:val="000000" w:themeColor="text1"/>
          <w:sz w:val="24"/>
          <w:szCs w:val="24"/>
        </w:rPr>
        <w:t xml:space="preserve">* Toate activitățile incluse în structura programului vizitei comisiei de evaluare sunt obligatorii, însă ordinea și </w:t>
      </w:r>
      <w:r w:rsidR="008F6E63" w:rsidRPr="00927C0B">
        <w:rPr>
          <w:rFonts w:cs="Calibri"/>
          <w:color w:val="000000" w:themeColor="text1"/>
          <w:sz w:val="24"/>
          <w:szCs w:val="24"/>
        </w:rPr>
        <w:t>durata alocată</w:t>
      </w:r>
      <w:r w:rsidRPr="00927C0B">
        <w:rPr>
          <w:rFonts w:cs="Calibri"/>
          <w:color w:val="000000" w:themeColor="text1"/>
          <w:sz w:val="24"/>
          <w:szCs w:val="24"/>
        </w:rPr>
        <w:t xml:space="preserve"> acestora </w:t>
      </w:r>
      <w:r w:rsidR="009A6072">
        <w:rPr>
          <w:rFonts w:cs="Calibri"/>
          <w:color w:val="000000" w:themeColor="text1"/>
          <w:sz w:val="24"/>
          <w:szCs w:val="24"/>
        </w:rPr>
        <w:t>sunt stabilite de către comisie în fun</w:t>
      </w:r>
      <w:r w:rsidR="00710D4A">
        <w:rPr>
          <w:rFonts w:cs="Calibri"/>
          <w:color w:val="000000" w:themeColor="text1"/>
          <w:sz w:val="24"/>
          <w:szCs w:val="24"/>
        </w:rPr>
        <w:t>cție de specificul evaluării</w:t>
      </w:r>
      <w:r w:rsidRPr="00927C0B">
        <w:rPr>
          <w:rFonts w:cs="Calibri"/>
          <w:color w:val="000000" w:themeColor="text1"/>
          <w:sz w:val="24"/>
          <w:szCs w:val="24"/>
        </w:rPr>
        <w:t xml:space="preserve">. </w:t>
      </w:r>
    </w:p>
    <w:p w14:paraId="0F9B56FB" w14:textId="77777777" w:rsidR="00875DD0" w:rsidRDefault="00875DD0" w:rsidP="005E4018">
      <w:pPr>
        <w:shd w:val="clear" w:color="auto" w:fill="FFFFFF"/>
        <w:spacing w:after="0"/>
        <w:jc w:val="both"/>
        <w:rPr>
          <w:rFonts w:eastAsia="Times New Roman" w:cs="Calibri"/>
          <w:color w:val="000000" w:themeColor="text1"/>
          <w:sz w:val="20"/>
          <w:szCs w:val="24"/>
          <w:lang w:eastAsia="en-GB"/>
        </w:rPr>
      </w:pPr>
    </w:p>
    <w:sectPr w:rsidR="00875DD0" w:rsidSect="001A18ED">
      <w:headerReference w:type="default" r:id="rId7"/>
      <w:headerReference w:type="first" r:id="rId8"/>
      <w:footerReference w:type="first" r:id="rId9"/>
      <w:pgSz w:w="11906" w:h="16838"/>
      <w:pgMar w:top="1417" w:right="1417" w:bottom="1417" w:left="1417" w:header="708" w:footer="5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64927" w14:textId="77777777" w:rsidR="006F3038" w:rsidRDefault="006F3038" w:rsidP="00F72B41">
      <w:pPr>
        <w:spacing w:after="0" w:line="240" w:lineRule="auto"/>
      </w:pPr>
      <w:r>
        <w:separator/>
      </w:r>
    </w:p>
  </w:endnote>
  <w:endnote w:type="continuationSeparator" w:id="0">
    <w:p w14:paraId="0FE8B0BD" w14:textId="77777777" w:rsidR="006F3038" w:rsidRDefault="006F3038" w:rsidP="00F72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8C419" w14:textId="77777777" w:rsidR="00703B15" w:rsidRPr="00583B70" w:rsidRDefault="00703B15" w:rsidP="001A18ED">
    <w:pPr>
      <w:pStyle w:val="Footer"/>
      <w:pBdr>
        <w:top w:val="single" w:sz="4" w:space="0" w:color="385623"/>
      </w:pBdr>
      <w:jc w:val="center"/>
      <w:rPr>
        <w:rFonts w:ascii="Tahoma" w:hAnsi="Tahoma" w:cs="Tahoma"/>
        <w:color w:val="3B3838"/>
        <w:sz w:val="18"/>
        <w:szCs w:val="18"/>
      </w:rPr>
    </w:pPr>
    <w:r>
      <w:rPr>
        <w:rFonts w:ascii="Tahoma" w:hAnsi="Tahoma" w:cs="Tahoma"/>
        <w:color w:val="3B3838"/>
        <w:sz w:val="18"/>
        <w:szCs w:val="18"/>
      </w:rPr>
      <w:t>B-dul Mărăști nr. 59</w:t>
    </w:r>
    <w:r w:rsidRPr="00583B70">
      <w:rPr>
        <w:rFonts w:ascii="Tahoma" w:hAnsi="Tahoma" w:cs="Tahoma"/>
        <w:color w:val="3B3838"/>
        <w:sz w:val="18"/>
        <w:szCs w:val="18"/>
      </w:rPr>
      <w:t>,</w:t>
    </w:r>
    <w:r>
      <w:rPr>
        <w:rFonts w:ascii="Tahoma" w:hAnsi="Tahoma" w:cs="Tahoma"/>
        <w:color w:val="3B3838"/>
        <w:sz w:val="18"/>
        <w:szCs w:val="18"/>
      </w:rPr>
      <w:t xml:space="preserve"> sect. 1</w:t>
    </w:r>
    <w:r w:rsidRPr="00583B70">
      <w:rPr>
        <w:rFonts w:ascii="Tahoma" w:hAnsi="Tahoma" w:cs="Tahoma"/>
        <w:color w:val="3B3838"/>
        <w:sz w:val="18"/>
        <w:szCs w:val="18"/>
      </w:rPr>
      <w:t xml:space="preserve">, </w:t>
    </w:r>
    <w:proofErr w:type="spellStart"/>
    <w:r w:rsidRPr="00583B70">
      <w:rPr>
        <w:rFonts w:ascii="Tahoma" w:hAnsi="Tahoma" w:cs="Tahoma"/>
        <w:color w:val="3B3838"/>
        <w:sz w:val="18"/>
        <w:szCs w:val="18"/>
      </w:rPr>
      <w:t>Bucureşti</w:t>
    </w:r>
    <w:proofErr w:type="spellEnd"/>
    <w:r w:rsidRPr="00583B70">
      <w:rPr>
        <w:rFonts w:ascii="Tahoma" w:hAnsi="Tahoma" w:cs="Tahoma"/>
        <w:color w:val="3B3838"/>
        <w:sz w:val="18"/>
        <w:szCs w:val="18"/>
      </w:rPr>
      <w:t>, tel. 021.206.76.00, fax 021.312.71.35</w:t>
    </w:r>
  </w:p>
  <w:p w14:paraId="6A77C86C" w14:textId="77777777" w:rsidR="00703B15" w:rsidRPr="00583B70" w:rsidRDefault="00703B15" w:rsidP="001A18ED">
    <w:pPr>
      <w:pStyle w:val="Footer"/>
      <w:pBdr>
        <w:top w:val="single" w:sz="4" w:space="0" w:color="385623"/>
      </w:pBdr>
      <w:jc w:val="center"/>
      <w:rPr>
        <w:rFonts w:ascii="Tahoma" w:hAnsi="Tahoma" w:cs="Tahoma"/>
        <w:color w:val="3B3838"/>
        <w:sz w:val="18"/>
        <w:szCs w:val="18"/>
      </w:rPr>
    </w:pPr>
    <w:r w:rsidRPr="00583B70">
      <w:rPr>
        <w:rFonts w:ascii="Tahoma" w:hAnsi="Tahoma" w:cs="Tahoma"/>
        <w:color w:val="3B3838"/>
        <w:sz w:val="18"/>
        <w:szCs w:val="18"/>
      </w:rPr>
      <w:t xml:space="preserve">Email: </w:t>
    </w:r>
    <w:hyperlink r:id="rId1" w:history="1">
      <w:r w:rsidRPr="00583B70">
        <w:rPr>
          <w:rStyle w:val="Hyperlink"/>
          <w:rFonts w:ascii="Tahoma" w:hAnsi="Tahoma" w:cs="Tahoma"/>
          <w:color w:val="3B3838"/>
          <w:sz w:val="18"/>
          <w:szCs w:val="18"/>
        </w:rPr>
        <w:t>office@aracis.ro</w:t>
      </w:r>
    </w:hyperlink>
    <w:r w:rsidRPr="00583B70">
      <w:rPr>
        <w:rFonts w:ascii="Tahoma" w:hAnsi="Tahoma" w:cs="Tahoma"/>
        <w:color w:val="3B3838"/>
        <w:sz w:val="18"/>
        <w:szCs w:val="18"/>
      </w:rPr>
      <w:t>, www.aracis.ro</w:t>
    </w:r>
  </w:p>
  <w:p w14:paraId="1050D32B" w14:textId="77777777" w:rsidR="00703B15" w:rsidRDefault="00703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B462B" w14:textId="77777777" w:rsidR="006F3038" w:rsidRDefault="006F3038" w:rsidP="00F72B41">
      <w:pPr>
        <w:spacing w:after="0" w:line="240" w:lineRule="auto"/>
      </w:pPr>
      <w:r>
        <w:separator/>
      </w:r>
    </w:p>
  </w:footnote>
  <w:footnote w:type="continuationSeparator" w:id="0">
    <w:p w14:paraId="0CAE1E18" w14:textId="77777777" w:rsidR="006F3038" w:rsidRDefault="006F3038" w:rsidP="00F72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BB75A" w14:textId="77777777" w:rsidR="00703B15" w:rsidRDefault="00703B15">
    <w:pPr>
      <w:pStyle w:val="Header"/>
    </w:pPr>
    <w:r>
      <w:rPr>
        <w:noProof/>
      </w:rPr>
      <w:drawing>
        <wp:anchor distT="0" distB="80010" distL="120396" distR="194437" simplePos="0" relativeHeight="251658240" behindDoc="0" locked="0" layoutInCell="1" allowOverlap="1" wp14:anchorId="6563153A" wp14:editId="25324D1B">
          <wp:simplePos x="0" y="0"/>
          <wp:positionH relativeFrom="column">
            <wp:posOffset>-60325</wp:posOffset>
          </wp:positionH>
          <wp:positionV relativeFrom="paragraph">
            <wp:posOffset>-378460</wp:posOffset>
          </wp:positionV>
          <wp:extent cx="743585" cy="756285"/>
          <wp:effectExtent l="0" t="0" r="0" b="0"/>
          <wp:wrapNone/>
          <wp:docPr id="2" name="Imagine 5" descr="C:\Users\emilia.gogu\Pictures\araci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ine 5" descr="C:\Users\emilia.gogu\Pictures\aracis.jpg"/>
                  <pic:cNvPicPr>
                    <a:picLocks/>
                  </pic:cNvPicPr>
                </pic:nvPicPr>
                <pic:blipFill>
                  <a:blip r:embed="rId1" cstate="print">
                    <a:duotone>
                      <a:schemeClr val="accent6">
                        <a:shade val="45000"/>
                        <a:satMod val="135000"/>
                      </a:schemeClr>
                      <a:prstClr val="white"/>
                    </a:duotone>
                  </a:blip>
                  <a:stretch>
                    <a:fillRect/>
                  </a:stretch>
                </pic:blipFill>
                <pic:spPr bwMode="auto">
                  <a:xfrm>
                    <a:off x="0" y="0"/>
                    <a:ext cx="743585" cy="756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1075"/>
      <w:gridCol w:w="7997"/>
    </w:tblGrid>
    <w:tr w:rsidR="00703B15" w:rsidRPr="00583B70" w14:paraId="55E0B921" w14:textId="77777777" w:rsidTr="00D33F66">
      <w:tc>
        <w:tcPr>
          <w:tcW w:w="1101" w:type="dxa"/>
          <w:shd w:val="clear" w:color="auto" w:fill="auto"/>
        </w:tcPr>
        <w:p w14:paraId="0C722895" w14:textId="77777777" w:rsidR="00703B15" w:rsidRPr="00583B70" w:rsidRDefault="00703B15" w:rsidP="00D33F66">
          <w:pPr>
            <w:pStyle w:val="Header"/>
            <w:rPr>
              <w:color w:val="3B3838"/>
            </w:rPr>
          </w:pPr>
          <w:r>
            <w:rPr>
              <w:noProof/>
            </w:rPr>
            <w:drawing>
              <wp:anchor distT="0" distB="80010" distL="120396" distR="194437" simplePos="0" relativeHeight="251657216" behindDoc="0" locked="0" layoutInCell="1" allowOverlap="1" wp14:anchorId="15C4C207" wp14:editId="38544961">
                <wp:simplePos x="0" y="0"/>
                <wp:positionH relativeFrom="column">
                  <wp:posOffset>-130810</wp:posOffset>
                </wp:positionH>
                <wp:positionV relativeFrom="paragraph">
                  <wp:posOffset>-215900</wp:posOffset>
                </wp:positionV>
                <wp:extent cx="743585" cy="756285"/>
                <wp:effectExtent l="0" t="0" r="0" b="0"/>
                <wp:wrapNone/>
                <wp:docPr id="1" name="Imagine 5" descr="C:\Users\emilia.gogu\Pictures\araci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ine 5" descr="C:\Users\emilia.gogu\Pictures\aracis.jpg"/>
                        <pic:cNvPicPr>
                          <a:picLocks/>
                        </pic:cNvPicPr>
                      </pic:nvPicPr>
                      <pic:blipFill>
                        <a:blip r:embed="rId1" cstate="print">
                          <a:duotone>
                            <a:schemeClr val="accent6">
                              <a:shade val="45000"/>
                              <a:satMod val="135000"/>
                            </a:schemeClr>
                            <a:prstClr val="white"/>
                          </a:duotone>
                        </a:blip>
                        <a:stretch>
                          <a:fillRect/>
                        </a:stretch>
                      </pic:blipFill>
                      <pic:spPr bwMode="auto">
                        <a:xfrm>
                          <a:off x="0" y="0"/>
                          <a:ext cx="743585" cy="7562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187" w:type="dxa"/>
          <w:tcBorders>
            <w:bottom w:val="single" w:sz="4" w:space="0" w:color="auto"/>
          </w:tcBorders>
          <w:shd w:val="clear" w:color="auto" w:fill="auto"/>
        </w:tcPr>
        <w:p w14:paraId="128B9261" w14:textId="77777777" w:rsidR="00703B15" w:rsidRPr="00583B70" w:rsidRDefault="00703B15" w:rsidP="00D33F66">
          <w:pPr>
            <w:spacing w:after="0"/>
            <w:jc w:val="center"/>
            <w:rPr>
              <w:rFonts w:ascii="Tahoma" w:hAnsi="Tahoma" w:cs="Tahoma"/>
              <w:b/>
              <w:color w:val="3B3838"/>
              <w:sz w:val="18"/>
              <w:szCs w:val="18"/>
              <w:lang w:val="es-ES"/>
            </w:rPr>
          </w:pPr>
          <w:r w:rsidRPr="00583B70">
            <w:rPr>
              <w:rFonts w:ascii="Tahoma" w:hAnsi="Tahoma" w:cs="Tahoma"/>
              <w:b/>
              <w:color w:val="3B3838"/>
              <w:sz w:val="18"/>
              <w:szCs w:val="18"/>
              <w:lang w:val="es-ES"/>
            </w:rPr>
            <w:t>AGENŢIA ROMÂNĂ DE ASIGURARE A CALITĂŢII ÎN ÎNVĂŢĂMÂNTUL SUPERIOR</w:t>
          </w:r>
        </w:p>
        <w:p w14:paraId="0F7B5A33" w14:textId="77777777" w:rsidR="00703B15" w:rsidRPr="00583B70" w:rsidRDefault="00703B15" w:rsidP="00D33F66">
          <w:pPr>
            <w:spacing w:after="0"/>
            <w:jc w:val="center"/>
            <w:rPr>
              <w:rFonts w:ascii="Tahoma" w:hAnsi="Tahoma" w:cs="Tahoma"/>
              <w:i/>
              <w:color w:val="3B3838"/>
              <w:sz w:val="16"/>
              <w:szCs w:val="16"/>
            </w:rPr>
          </w:pPr>
          <w:r w:rsidRPr="00583B70">
            <w:rPr>
              <w:rFonts w:ascii="Tahoma" w:hAnsi="Tahoma" w:cs="Tahoma"/>
              <w:i/>
              <w:color w:val="3B3838"/>
              <w:sz w:val="16"/>
              <w:szCs w:val="16"/>
            </w:rPr>
            <w:t xml:space="preserve">Membră în Asociația Europeană pentru Asigurarea Calității în Învățământul Superior - </w:t>
          </w:r>
          <w:r w:rsidRPr="00583B70">
            <w:rPr>
              <w:rFonts w:ascii="Tahoma" w:hAnsi="Tahoma" w:cs="Tahoma"/>
              <w:b/>
              <w:i/>
              <w:color w:val="3B3838"/>
              <w:sz w:val="16"/>
              <w:szCs w:val="16"/>
            </w:rPr>
            <w:t>ENQA</w:t>
          </w:r>
        </w:p>
        <w:p w14:paraId="0A400A88" w14:textId="77777777" w:rsidR="00703B15" w:rsidRPr="00583B70" w:rsidRDefault="00703B15" w:rsidP="00D33F66">
          <w:pPr>
            <w:spacing w:after="0"/>
            <w:jc w:val="center"/>
            <w:rPr>
              <w:rFonts w:ascii="Tahoma" w:hAnsi="Tahoma" w:cs="Tahoma"/>
              <w:i/>
              <w:color w:val="3B3838"/>
              <w:sz w:val="16"/>
              <w:szCs w:val="16"/>
            </w:rPr>
          </w:pPr>
          <w:r w:rsidRPr="00583B70">
            <w:rPr>
              <w:rFonts w:ascii="Tahoma" w:hAnsi="Tahoma" w:cs="Tahoma"/>
              <w:i/>
              <w:color w:val="3B3838"/>
              <w:sz w:val="16"/>
              <w:szCs w:val="16"/>
            </w:rPr>
            <w:t xml:space="preserve">Înscrisă în Registrul European pentru Asigurarea Calității în Învățământul Superior - </w:t>
          </w:r>
          <w:r w:rsidRPr="00583B70">
            <w:rPr>
              <w:rFonts w:ascii="Tahoma" w:hAnsi="Tahoma" w:cs="Tahoma"/>
              <w:b/>
              <w:i/>
              <w:color w:val="3B3838"/>
              <w:sz w:val="16"/>
              <w:szCs w:val="16"/>
            </w:rPr>
            <w:t>EQAR</w:t>
          </w:r>
        </w:p>
      </w:tc>
    </w:tr>
  </w:tbl>
  <w:p w14:paraId="292B09E5" w14:textId="77777777" w:rsidR="00703B15" w:rsidRDefault="00703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F7BD4"/>
    <w:multiLevelType w:val="hybridMultilevel"/>
    <w:tmpl w:val="0A3611DC"/>
    <w:lvl w:ilvl="0" w:tplc="63288D3C">
      <w:start w:val="26"/>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7D0BF2"/>
    <w:multiLevelType w:val="hybridMultilevel"/>
    <w:tmpl w:val="00B8F2FA"/>
    <w:lvl w:ilvl="0" w:tplc="E25C9AD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6E46EF"/>
    <w:multiLevelType w:val="hybridMultilevel"/>
    <w:tmpl w:val="ECBEF5D6"/>
    <w:lvl w:ilvl="0" w:tplc="63288D3C">
      <w:start w:val="26"/>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873185"/>
    <w:multiLevelType w:val="hybridMultilevel"/>
    <w:tmpl w:val="BF2CA83C"/>
    <w:lvl w:ilvl="0" w:tplc="63288D3C">
      <w:start w:val="26"/>
      <w:numFmt w:val="bullet"/>
      <w:lvlText w:val="-"/>
      <w:lvlJc w:val="left"/>
      <w:pPr>
        <w:ind w:left="720" w:hanging="360"/>
      </w:pPr>
      <w:rPr>
        <w:rFonts w:ascii="Times New Roman" w:eastAsia="Calibri" w:hAnsi="Times New Roman" w:cs="Times New Roman" w:hint="default"/>
        <w:b w:val="0"/>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5C139C"/>
    <w:multiLevelType w:val="hybridMultilevel"/>
    <w:tmpl w:val="560A39DE"/>
    <w:lvl w:ilvl="0" w:tplc="40AA085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78AE08AA"/>
    <w:multiLevelType w:val="hybridMultilevel"/>
    <w:tmpl w:val="D53292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41"/>
    <w:rsid w:val="00010929"/>
    <w:rsid w:val="0002551D"/>
    <w:rsid w:val="00026993"/>
    <w:rsid w:val="00041515"/>
    <w:rsid w:val="00041FD7"/>
    <w:rsid w:val="000421B7"/>
    <w:rsid w:val="00044EB9"/>
    <w:rsid w:val="00055376"/>
    <w:rsid w:val="00056122"/>
    <w:rsid w:val="00087191"/>
    <w:rsid w:val="00087E87"/>
    <w:rsid w:val="000927B5"/>
    <w:rsid w:val="00096249"/>
    <w:rsid w:val="00096338"/>
    <w:rsid w:val="000A0DB2"/>
    <w:rsid w:val="000A5A7F"/>
    <w:rsid w:val="000A6B9E"/>
    <w:rsid w:val="000C051C"/>
    <w:rsid w:val="000C2BC9"/>
    <w:rsid w:val="000C33E2"/>
    <w:rsid w:val="000D2BC8"/>
    <w:rsid w:val="000D3EFF"/>
    <w:rsid w:val="000F1D91"/>
    <w:rsid w:val="000F5FCA"/>
    <w:rsid w:val="001057DA"/>
    <w:rsid w:val="00107789"/>
    <w:rsid w:val="00125DA5"/>
    <w:rsid w:val="00133D06"/>
    <w:rsid w:val="00135235"/>
    <w:rsid w:val="0015716C"/>
    <w:rsid w:val="0016044E"/>
    <w:rsid w:val="00166FCC"/>
    <w:rsid w:val="00180264"/>
    <w:rsid w:val="0019400C"/>
    <w:rsid w:val="00196370"/>
    <w:rsid w:val="001A050E"/>
    <w:rsid w:val="001A18ED"/>
    <w:rsid w:val="001A251B"/>
    <w:rsid w:val="001A66D3"/>
    <w:rsid w:val="001C0203"/>
    <w:rsid w:val="001C6876"/>
    <w:rsid w:val="001D3B6E"/>
    <w:rsid w:val="001E5833"/>
    <w:rsid w:val="001E673C"/>
    <w:rsid w:val="0020058E"/>
    <w:rsid w:val="00200BFB"/>
    <w:rsid w:val="00212D5F"/>
    <w:rsid w:val="00227299"/>
    <w:rsid w:val="002312FA"/>
    <w:rsid w:val="00256AB2"/>
    <w:rsid w:val="00267A83"/>
    <w:rsid w:val="00273475"/>
    <w:rsid w:val="00273680"/>
    <w:rsid w:val="00277B00"/>
    <w:rsid w:val="002804AE"/>
    <w:rsid w:val="002837A5"/>
    <w:rsid w:val="0028496C"/>
    <w:rsid w:val="00285318"/>
    <w:rsid w:val="00285BEF"/>
    <w:rsid w:val="0028602E"/>
    <w:rsid w:val="00286318"/>
    <w:rsid w:val="0029047C"/>
    <w:rsid w:val="00297D92"/>
    <w:rsid w:val="002B75A5"/>
    <w:rsid w:val="002C05DD"/>
    <w:rsid w:val="002D0241"/>
    <w:rsid w:val="002D5FA6"/>
    <w:rsid w:val="002D66A2"/>
    <w:rsid w:val="002E14DC"/>
    <w:rsid w:val="002F0198"/>
    <w:rsid w:val="002F045E"/>
    <w:rsid w:val="002F1EA4"/>
    <w:rsid w:val="002F5E3E"/>
    <w:rsid w:val="00305166"/>
    <w:rsid w:val="00311F1B"/>
    <w:rsid w:val="00321788"/>
    <w:rsid w:val="00334353"/>
    <w:rsid w:val="00362363"/>
    <w:rsid w:val="00372919"/>
    <w:rsid w:val="003745FC"/>
    <w:rsid w:val="003773AB"/>
    <w:rsid w:val="00384BD5"/>
    <w:rsid w:val="003872F7"/>
    <w:rsid w:val="003949D0"/>
    <w:rsid w:val="0039565E"/>
    <w:rsid w:val="003957D4"/>
    <w:rsid w:val="00397B1F"/>
    <w:rsid w:val="003A470F"/>
    <w:rsid w:val="003A4A7A"/>
    <w:rsid w:val="003B4A8A"/>
    <w:rsid w:val="003C241C"/>
    <w:rsid w:val="003C6BDC"/>
    <w:rsid w:val="003D6BDA"/>
    <w:rsid w:val="003E239F"/>
    <w:rsid w:val="003E5A93"/>
    <w:rsid w:val="00405313"/>
    <w:rsid w:val="00410979"/>
    <w:rsid w:val="0041290B"/>
    <w:rsid w:val="00412928"/>
    <w:rsid w:val="00415573"/>
    <w:rsid w:val="00416E98"/>
    <w:rsid w:val="00417086"/>
    <w:rsid w:val="00425398"/>
    <w:rsid w:val="004306F0"/>
    <w:rsid w:val="00435FB2"/>
    <w:rsid w:val="00436846"/>
    <w:rsid w:val="004446EE"/>
    <w:rsid w:val="00447C7A"/>
    <w:rsid w:val="0045766A"/>
    <w:rsid w:val="00464C2F"/>
    <w:rsid w:val="00486587"/>
    <w:rsid w:val="00490290"/>
    <w:rsid w:val="00490485"/>
    <w:rsid w:val="00497C86"/>
    <w:rsid w:val="004B7260"/>
    <w:rsid w:val="004C0770"/>
    <w:rsid w:val="004C6FEB"/>
    <w:rsid w:val="004C7110"/>
    <w:rsid w:val="004D5982"/>
    <w:rsid w:val="004F0DEE"/>
    <w:rsid w:val="004F1E1A"/>
    <w:rsid w:val="00501D09"/>
    <w:rsid w:val="00503634"/>
    <w:rsid w:val="005317B2"/>
    <w:rsid w:val="0054243A"/>
    <w:rsid w:val="00542A0D"/>
    <w:rsid w:val="00550D19"/>
    <w:rsid w:val="00552B63"/>
    <w:rsid w:val="005562CD"/>
    <w:rsid w:val="0056122D"/>
    <w:rsid w:val="0056279F"/>
    <w:rsid w:val="00565887"/>
    <w:rsid w:val="005678F9"/>
    <w:rsid w:val="00572C3B"/>
    <w:rsid w:val="00575F14"/>
    <w:rsid w:val="00576E39"/>
    <w:rsid w:val="00581E27"/>
    <w:rsid w:val="005943AD"/>
    <w:rsid w:val="005A6465"/>
    <w:rsid w:val="005B4D5F"/>
    <w:rsid w:val="005B6630"/>
    <w:rsid w:val="005C43B4"/>
    <w:rsid w:val="005C5D96"/>
    <w:rsid w:val="005C632E"/>
    <w:rsid w:val="005C66D6"/>
    <w:rsid w:val="005C6909"/>
    <w:rsid w:val="005D70A7"/>
    <w:rsid w:val="005E03E8"/>
    <w:rsid w:val="005E4018"/>
    <w:rsid w:val="005E5920"/>
    <w:rsid w:val="005F49F5"/>
    <w:rsid w:val="005F4F2D"/>
    <w:rsid w:val="00600631"/>
    <w:rsid w:val="00603BE7"/>
    <w:rsid w:val="006163B5"/>
    <w:rsid w:val="00620295"/>
    <w:rsid w:val="006259D7"/>
    <w:rsid w:val="006332F7"/>
    <w:rsid w:val="00633947"/>
    <w:rsid w:val="00634FFB"/>
    <w:rsid w:val="0063650A"/>
    <w:rsid w:val="00643F17"/>
    <w:rsid w:val="00646B77"/>
    <w:rsid w:val="0065012F"/>
    <w:rsid w:val="00652185"/>
    <w:rsid w:val="00662862"/>
    <w:rsid w:val="00666BDF"/>
    <w:rsid w:val="00670C49"/>
    <w:rsid w:val="00680397"/>
    <w:rsid w:val="00687D07"/>
    <w:rsid w:val="00696B71"/>
    <w:rsid w:val="00696F48"/>
    <w:rsid w:val="00697D3A"/>
    <w:rsid w:val="006A22BC"/>
    <w:rsid w:val="006C15BA"/>
    <w:rsid w:val="006D0923"/>
    <w:rsid w:val="006D3D36"/>
    <w:rsid w:val="006E4914"/>
    <w:rsid w:val="006F0097"/>
    <w:rsid w:val="006F0DCD"/>
    <w:rsid w:val="006F3038"/>
    <w:rsid w:val="006F3A42"/>
    <w:rsid w:val="006F4BC0"/>
    <w:rsid w:val="00703B15"/>
    <w:rsid w:val="0071048E"/>
    <w:rsid w:val="00710D4A"/>
    <w:rsid w:val="00712CFE"/>
    <w:rsid w:val="0071487F"/>
    <w:rsid w:val="00723749"/>
    <w:rsid w:val="007317E3"/>
    <w:rsid w:val="007404F6"/>
    <w:rsid w:val="00741D01"/>
    <w:rsid w:val="007436F2"/>
    <w:rsid w:val="0075765A"/>
    <w:rsid w:val="0076546D"/>
    <w:rsid w:val="00771511"/>
    <w:rsid w:val="007729D0"/>
    <w:rsid w:val="0077445C"/>
    <w:rsid w:val="007A11CA"/>
    <w:rsid w:val="007A3182"/>
    <w:rsid w:val="007B297E"/>
    <w:rsid w:val="007D224A"/>
    <w:rsid w:val="007D2B17"/>
    <w:rsid w:val="007F01F5"/>
    <w:rsid w:val="00803868"/>
    <w:rsid w:val="0081154A"/>
    <w:rsid w:val="00812E29"/>
    <w:rsid w:val="00815EF4"/>
    <w:rsid w:val="008160AC"/>
    <w:rsid w:val="008416C5"/>
    <w:rsid w:val="00843012"/>
    <w:rsid w:val="008466A8"/>
    <w:rsid w:val="00857AA6"/>
    <w:rsid w:val="00867F8A"/>
    <w:rsid w:val="00875DD0"/>
    <w:rsid w:val="00893002"/>
    <w:rsid w:val="008A02F9"/>
    <w:rsid w:val="008A6077"/>
    <w:rsid w:val="008A7FE2"/>
    <w:rsid w:val="008B3831"/>
    <w:rsid w:val="008B3916"/>
    <w:rsid w:val="008B4E3D"/>
    <w:rsid w:val="008B629C"/>
    <w:rsid w:val="008C0BD1"/>
    <w:rsid w:val="008E02B8"/>
    <w:rsid w:val="008E66F0"/>
    <w:rsid w:val="008F0CBA"/>
    <w:rsid w:val="008F450E"/>
    <w:rsid w:val="008F6E63"/>
    <w:rsid w:val="008F743B"/>
    <w:rsid w:val="00916D96"/>
    <w:rsid w:val="00927C0B"/>
    <w:rsid w:val="009326EA"/>
    <w:rsid w:val="00940096"/>
    <w:rsid w:val="00945DAB"/>
    <w:rsid w:val="00947200"/>
    <w:rsid w:val="00954CAF"/>
    <w:rsid w:val="00960E4F"/>
    <w:rsid w:val="0097303C"/>
    <w:rsid w:val="0097695A"/>
    <w:rsid w:val="00980B94"/>
    <w:rsid w:val="00981DA1"/>
    <w:rsid w:val="00984E77"/>
    <w:rsid w:val="00985F3C"/>
    <w:rsid w:val="009947EB"/>
    <w:rsid w:val="009A15ED"/>
    <w:rsid w:val="009A6072"/>
    <w:rsid w:val="009D34F9"/>
    <w:rsid w:val="009D4870"/>
    <w:rsid w:val="009E1F89"/>
    <w:rsid w:val="009F0524"/>
    <w:rsid w:val="00A01752"/>
    <w:rsid w:val="00A0444B"/>
    <w:rsid w:val="00A047DE"/>
    <w:rsid w:val="00A11403"/>
    <w:rsid w:val="00A15D2A"/>
    <w:rsid w:val="00A17D74"/>
    <w:rsid w:val="00A235FF"/>
    <w:rsid w:val="00A24369"/>
    <w:rsid w:val="00A271FD"/>
    <w:rsid w:val="00A2799F"/>
    <w:rsid w:val="00A30D7D"/>
    <w:rsid w:val="00A40E58"/>
    <w:rsid w:val="00A478E4"/>
    <w:rsid w:val="00A55ACE"/>
    <w:rsid w:val="00A55D4D"/>
    <w:rsid w:val="00A749A3"/>
    <w:rsid w:val="00A76847"/>
    <w:rsid w:val="00A86A12"/>
    <w:rsid w:val="00A90466"/>
    <w:rsid w:val="00AA15E2"/>
    <w:rsid w:val="00AA7137"/>
    <w:rsid w:val="00AB049D"/>
    <w:rsid w:val="00AB68C0"/>
    <w:rsid w:val="00AB698B"/>
    <w:rsid w:val="00AC4AF8"/>
    <w:rsid w:val="00AC5E5C"/>
    <w:rsid w:val="00AD3FB8"/>
    <w:rsid w:val="00AD6ED5"/>
    <w:rsid w:val="00AE28E8"/>
    <w:rsid w:val="00AE2A50"/>
    <w:rsid w:val="00AF2918"/>
    <w:rsid w:val="00B0042F"/>
    <w:rsid w:val="00B1033D"/>
    <w:rsid w:val="00B1279C"/>
    <w:rsid w:val="00B30E03"/>
    <w:rsid w:val="00B33E67"/>
    <w:rsid w:val="00B36BC0"/>
    <w:rsid w:val="00B4491A"/>
    <w:rsid w:val="00B56081"/>
    <w:rsid w:val="00B63CD0"/>
    <w:rsid w:val="00B75286"/>
    <w:rsid w:val="00B821EB"/>
    <w:rsid w:val="00B82563"/>
    <w:rsid w:val="00B87AD0"/>
    <w:rsid w:val="00B87B6C"/>
    <w:rsid w:val="00B92006"/>
    <w:rsid w:val="00B95658"/>
    <w:rsid w:val="00BA02D8"/>
    <w:rsid w:val="00BA1E1E"/>
    <w:rsid w:val="00BA31BE"/>
    <w:rsid w:val="00BB78AC"/>
    <w:rsid w:val="00BD2105"/>
    <w:rsid w:val="00BE1308"/>
    <w:rsid w:val="00BE713B"/>
    <w:rsid w:val="00BE7844"/>
    <w:rsid w:val="00C1391A"/>
    <w:rsid w:val="00C14D53"/>
    <w:rsid w:val="00C15412"/>
    <w:rsid w:val="00C20A4F"/>
    <w:rsid w:val="00C2550D"/>
    <w:rsid w:val="00C26CE9"/>
    <w:rsid w:val="00C33918"/>
    <w:rsid w:val="00C40DFB"/>
    <w:rsid w:val="00C55073"/>
    <w:rsid w:val="00C654D9"/>
    <w:rsid w:val="00C7387E"/>
    <w:rsid w:val="00C74ED5"/>
    <w:rsid w:val="00C75408"/>
    <w:rsid w:val="00C81E89"/>
    <w:rsid w:val="00C8214F"/>
    <w:rsid w:val="00C82299"/>
    <w:rsid w:val="00C85822"/>
    <w:rsid w:val="00C9737C"/>
    <w:rsid w:val="00C976B0"/>
    <w:rsid w:val="00CA1D5F"/>
    <w:rsid w:val="00CA3F41"/>
    <w:rsid w:val="00CA4A39"/>
    <w:rsid w:val="00CB12EE"/>
    <w:rsid w:val="00CB2D9E"/>
    <w:rsid w:val="00CB34E6"/>
    <w:rsid w:val="00CB538F"/>
    <w:rsid w:val="00CB566D"/>
    <w:rsid w:val="00CC58CD"/>
    <w:rsid w:val="00CC5A20"/>
    <w:rsid w:val="00CD05B8"/>
    <w:rsid w:val="00CD4080"/>
    <w:rsid w:val="00CD53BC"/>
    <w:rsid w:val="00CE710A"/>
    <w:rsid w:val="00CF5817"/>
    <w:rsid w:val="00D0095B"/>
    <w:rsid w:val="00D05EAA"/>
    <w:rsid w:val="00D07B16"/>
    <w:rsid w:val="00D206FC"/>
    <w:rsid w:val="00D250B0"/>
    <w:rsid w:val="00D256DA"/>
    <w:rsid w:val="00D33F66"/>
    <w:rsid w:val="00D36391"/>
    <w:rsid w:val="00D47039"/>
    <w:rsid w:val="00D47C73"/>
    <w:rsid w:val="00D519B1"/>
    <w:rsid w:val="00D55463"/>
    <w:rsid w:val="00D66B6A"/>
    <w:rsid w:val="00D70DA6"/>
    <w:rsid w:val="00D74E65"/>
    <w:rsid w:val="00D80F31"/>
    <w:rsid w:val="00DC0514"/>
    <w:rsid w:val="00DC2E39"/>
    <w:rsid w:val="00DC4B3C"/>
    <w:rsid w:val="00DD52CE"/>
    <w:rsid w:val="00DD54C8"/>
    <w:rsid w:val="00DE55DA"/>
    <w:rsid w:val="00DE652A"/>
    <w:rsid w:val="00DF108D"/>
    <w:rsid w:val="00DF3069"/>
    <w:rsid w:val="00E105D7"/>
    <w:rsid w:val="00E131F4"/>
    <w:rsid w:val="00E17566"/>
    <w:rsid w:val="00E21667"/>
    <w:rsid w:val="00E27537"/>
    <w:rsid w:val="00E32EBC"/>
    <w:rsid w:val="00E4071A"/>
    <w:rsid w:val="00E46A91"/>
    <w:rsid w:val="00E74BB9"/>
    <w:rsid w:val="00E75636"/>
    <w:rsid w:val="00E75F12"/>
    <w:rsid w:val="00E84140"/>
    <w:rsid w:val="00E84FFC"/>
    <w:rsid w:val="00E9262F"/>
    <w:rsid w:val="00EA22F5"/>
    <w:rsid w:val="00EA2FFC"/>
    <w:rsid w:val="00EA65BB"/>
    <w:rsid w:val="00EC1A4B"/>
    <w:rsid w:val="00EC491D"/>
    <w:rsid w:val="00EF3186"/>
    <w:rsid w:val="00F0515E"/>
    <w:rsid w:val="00F07120"/>
    <w:rsid w:val="00F12446"/>
    <w:rsid w:val="00F43553"/>
    <w:rsid w:val="00F54ACC"/>
    <w:rsid w:val="00F56A68"/>
    <w:rsid w:val="00F729DC"/>
    <w:rsid w:val="00F72B41"/>
    <w:rsid w:val="00F8254C"/>
    <w:rsid w:val="00F8448F"/>
    <w:rsid w:val="00F914B3"/>
    <w:rsid w:val="00F93E47"/>
    <w:rsid w:val="00F97F1A"/>
    <w:rsid w:val="00FA20BB"/>
    <w:rsid w:val="00FA29DB"/>
    <w:rsid w:val="00FB33BA"/>
    <w:rsid w:val="00FB567F"/>
    <w:rsid w:val="00FC2EFB"/>
    <w:rsid w:val="00FD51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99762"/>
  <w15:chartTrackingRefBased/>
  <w15:docId w15:val="{FF06BE4E-259B-2C4B-827E-7AD3A63B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305166"/>
    <w:pPr>
      <w:spacing w:after="200" w:line="276" w:lineRule="auto"/>
    </w:pPr>
    <w:rPr>
      <w:sz w:val="22"/>
      <w:szCs w:val="22"/>
    </w:rPr>
  </w:style>
  <w:style w:type="paragraph" w:styleId="Heading2">
    <w:name w:val="heading 2"/>
    <w:basedOn w:val="Normal"/>
    <w:next w:val="Normal"/>
    <w:link w:val="Heading2Char"/>
    <w:uiPriority w:val="9"/>
    <w:qFormat/>
    <w:rsid w:val="0028496C"/>
    <w:pPr>
      <w:keepNext/>
      <w:spacing w:before="240" w:after="60" w:line="240" w:lineRule="auto"/>
      <w:outlineLvl w:val="1"/>
    </w:pPr>
    <w:rPr>
      <w:rFonts w:ascii="Cambria" w:eastAsia="Times New Roman" w:hAnsi="Cambria"/>
      <w:b/>
      <w:bCs/>
      <w:i/>
      <w:i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B4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2B41"/>
  </w:style>
  <w:style w:type="paragraph" w:styleId="Footer">
    <w:name w:val="footer"/>
    <w:basedOn w:val="Normal"/>
    <w:link w:val="FooterChar"/>
    <w:uiPriority w:val="99"/>
    <w:unhideWhenUsed/>
    <w:rsid w:val="00F72B4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2B41"/>
  </w:style>
  <w:style w:type="character" w:styleId="Hyperlink">
    <w:name w:val="Hyperlink"/>
    <w:uiPriority w:val="99"/>
    <w:unhideWhenUsed/>
    <w:rsid w:val="0081154A"/>
    <w:rPr>
      <w:color w:val="0563C1"/>
      <w:u w:val="single"/>
    </w:rPr>
  </w:style>
  <w:style w:type="character" w:customStyle="1" w:styleId="Heading2Char">
    <w:name w:val="Heading 2 Char"/>
    <w:link w:val="Heading2"/>
    <w:uiPriority w:val="9"/>
    <w:semiHidden/>
    <w:rsid w:val="0028496C"/>
    <w:rPr>
      <w:rFonts w:ascii="Cambria" w:eastAsia="Times New Roman" w:hAnsi="Cambria"/>
      <w:b/>
      <w:bCs/>
      <w:i/>
      <w:iCs/>
      <w:sz w:val="28"/>
      <w:szCs w:val="28"/>
    </w:rPr>
  </w:style>
  <w:style w:type="paragraph" w:customStyle="1" w:styleId="Standard">
    <w:name w:val="Standard"/>
    <w:rsid w:val="0028496C"/>
    <w:pPr>
      <w:suppressAutoHyphens/>
    </w:pPr>
    <w:rPr>
      <w:rFonts w:ascii="Times New Roman" w:eastAsia="Times New Roman" w:hAnsi="Times New Roman" w:cs="Calibri"/>
      <w:color w:val="000000"/>
      <w:kern w:val="1"/>
      <w:lang w:eastAsia="zh-CN"/>
    </w:rPr>
  </w:style>
  <w:style w:type="paragraph" w:customStyle="1" w:styleId="ColorfulList-Accent11">
    <w:name w:val="Colorful List - Accent 11"/>
    <w:basedOn w:val="Normal"/>
    <w:uiPriority w:val="34"/>
    <w:qFormat/>
    <w:rsid w:val="00D519B1"/>
    <w:pPr>
      <w:spacing w:after="160" w:line="259" w:lineRule="auto"/>
      <w:ind w:left="720"/>
      <w:contextualSpacing/>
    </w:pPr>
  </w:style>
  <w:style w:type="paragraph" w:customStyle="1" w:styleId="Default">
    <w:name w:val="Default"/>
    <w:rsid w:val="00D519B1"/>
    <w:pPr>
      <w:autoSpaceDE w:val="0"/>
      <w:autoSpaceDN w:val="0"/>
      <w:adjustRightInd w:val="0"/>
    </w:pPr>
    <w:rPr>
      <w:rFonts w:ascii="Times New Roman" w:eastAsia="Times New Roman" w:hAnsi="Times New Roman"/>
      <w:color w:val="000000"/>
      <w:sz w:val="24"/>
      <w:szCs w:val="24"/>
      <w:lang w:val="en-US"/>
    </w:rPr>
  </w:style>
  <w:style w:type="paragraph" w:styleId="ListParagraph">
    <w:name w:val="List Paragraph"/>
    <w:basedOn w:val="Normal"/>
    <w:uiPriority w:val="34"/>
    <w:qFormat/>
    <w:rsid w:val="00A17D74"/>
    <w:pPr>
      <w:spacing w:after="160" w:line="259" w:lineRule="auto"/>
      <w:ind w:left="720"/>
      <w:contextualSpacing/>
    </w:pPr>
    <w:rPr>
      <w:lang w:val="en-GB"/>
    </w:rPr>
  </w:style>
  <w:style w:type="paragraph" w:styleId="NormalWeb">
    <w:name w:val="Normal (Web)"/>
    <w:basedOn w:val="Normal"/>
    <w:uiPriority w:val="99"/>
    <w:semiHidden/>
    <w:unhideWhenUsed/>
    <w:rsid w:val="00A17D74"/>
    <w:pPr>
      <w:spacing w:before="100" w:beforeAutospacing="1" w:after="100" w:afterAutospacing="1" w:line="240" w:lineRule="auto"/>
    </w:pPr>
    <w:rPr>
      <w:rFonts w:ascii="Times New Roman" w:hAnsi="Times New Roman"/>
      <w:sz w:val="24"/>
      <w:szCs w:val="24"/>
      <w:lang w:val="en-US"/>
    </w:rPr>
  </w:style>
  <w:style w:type="table" w:styleId="TableGrid">
    <w:name w:val="Table Grid"/>
    <w:basedOn w:val="TableNormal"/>
    <w:uiPriority w:val="59"/>
    <w:rsid w:val="00A17D74"/>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75765A"/>
    <w:pPr>
      <w:pBdr>
        <w:top w:val="nil"/>
        <w:left w:val="nil"/>
        <w:bottom w:val="nil"/>
        <w:right w:val="nil"/>
        <w:between w:val="nil"/>
        <w:bar w:val="nil"/>
      </w:pBdr>
      <w:spacing w:after="200" w:line="276" w:lineRule="auto"/>
    </w:pPr>
    <w:rPr>
      <w:rFonts w:cs="Calibri"/>
      <w:color w:val="000000"/>
      <w:sz w:val="22"/>
      <w:szCs w:val="22"/>
      <w:u w:color="000000"/>
      <w:bdr w:val="nil"/>
      <w:lang w:val="en-US" w:eastAsia="en-GB"/>
    </w:rPr>
  </w:style>
  <w:style w:type="character" w:styleId="Strong">
    <w:name w:val="Strong"/>
    <w:uiPriority w:val="22"/>
    <w:qFormat/>
    <w:rsid w:val="00B56081"/>
    <w:rPr>
      <w:b/>
      <w:bCs/>
    </w:rPr>
  </w:style>
  <w:style w:type="character" w:styleId="CommentReference">
    <w:name w:val="annotation reference"/>
    <w:uiPriority w:val="99"/>
    <w:semiHidden/>
    <w:unhideWhenUsed/>
    <w:rsid w:val="00227299"/>
    <w:rPr>
      <w:sz w:val="16"/>
      <w:szCs w:val="16"/>
    </w:rPr>
  </w:style>
  <w:style w:type="paragraph" w:styleId="CommentText">
    <w:name w:val="annotation text"/>
    <w:basedOn w:val="Normal"/>
    <w:link w:val="CommentTextChar"/>
    <w:uiPriority w:val="99"/>
    <w:semiHidden/>
    <w:unhideWhenUsed/>
    <w:rsid w:val="00227299"/>
    <w:rPr>
      <w:sz w:val="20"/>
      <w:szCs w:val="20"/>
    </w:rPr>
  </w:style>
  <w:style w:type="character" w:customStyle="1" w:styleId="CommentTextChar">
    <w:name w:val="Comment Text Char"/>
    <w:basedOn w:val="DefaultParagraphFont"/>
    <w:link w:val="CommentText"/>
    <w:uiPriority w:val="99"/>
    <w:semiHidden/>
    <w:rsid w:val="00227299"/>
  </w:style>
  <w:style w:type="paragraph" w:styleId="CommentSubject">
    <w:name w:val="annotation subject"/>
    <w:basedOn w:val="CommentText"/>
    <w:next w:val="CommentText"/>
    <w:link w:val="CommentSubjectChar"/>
    <w:uiPriority w:val="99"/>
    <w:semiHidden/>
    <w:unhideWhenUsed/>
    <w:rsid w:val="00227299"/>
    <w:rPr>
      <w:b/>
      <w:bCs/>
    </w:rPr>
  </w:style>
  <w:style w:type="character" w:customStyle="1" w:styleId="CommentSubjectChar">
    <w:name w:val="Comment Subject Char"/>
    <w:link w:val="CommentSubject"/>
    <w:uiPriority w:val="99"/>
    <w:semiHidden/>
    <w:rsid w:val="00227299"/>
    <w:rPr>
      <w:b/>
      <w:bCs/>
    </w:rPr>
  </w:style>
  <w:style w:type="paragraph" w:styleId="BalloonText">
    <w:name w:val="Balloon Text"/>
    <w:basedOn w:val="Normal"/>
    <w:link w:val="BalloonTextChar"/>
    <w:uiPriority w:val="99"/>
    <w:semiHidden/>
    <w:unhideWhenUsed/>
    <w:rsid w:val="00227299"/>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227299"/>
    <w:rPr>
      <w:rFonts w:ascii="Times New Roman" w:hAnsi="Times New Roman"/>
      <w:sz w:val="18"/>
      <w:szCs w:val="18"/>
    </w:rPr>
  </w:style>
  <w:style w:type="paragraph" w:styleId="Revision">
    <w:name w:val="Revision"/>
    <w:hidden/>
    <w:uiPriority w:val="71"/>
    <w:rsid w:val="00550D1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8387703">
      <w:bodyDiv w:val="1"/>
      <w:marLeft w:val="0"/>
      <w:marRight w:val="0"/>
      <w:marTop w:val="0"/>
      <w:marBottom w:val="0"/>
      <w:divBdr>
        <w:top w:val="none" w:sz="0" w:space="0" w:color="auto"/>
        <w:left w:val="none" w:sz="0" w:space="0" w:color="auto"/>
        <w:bottom w:val="none" w:sz="0" w:space="0" w:color="auto"/>
        <w:right w:val="none" w:sz="0" w:space="0" w:color="auto"/>
      </w:divBdr>
    </w:div>
    <w:div w:id="166967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aracis.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1063</Words>
  <Characters>6060</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Links>
    <vt:vector size="6" baseType="variant">
      <vt:variant>
        <vt:i4>5767271</vt:i4>
      </vt:variant>
      <vt:variant>
        <vt:i4>0</vt:i4>
      </vt:variant>
      <vt:variant>
        <vt:i4>0</vt:i4>
      </vt:variant>
      <vt:variant>
        <vt:i4>5</vt:i4>
      </vt:variant>
      <vt:variant>
        <vt:lpwstr>mailto:office@aracis.ro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2017-01-03T12:55:00Z</cp:lastPrinted>
  <dcterms:created xsi:type="dcterms:W3CDTF">2020-04-02T00:43:00Z</dcterms:created>
  <dcterms:modified xsi:type="dcterms:W3CDTF">2020-04-10T16:14:00Z</dcterms:modified>
</cp:coreProperties>
</file>